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AC59A" w14:textId="77777777" w:rsidR="00FA7846" w:rsidRPr="004A5647" w:rsidRDefault="00FA7846" w:rsidP="00FA7846">
      <w:pPr>
        <w:rPr>
          <w:sz w:val="2"/>
          <w:szCs w:val="2"/>
        </w:rPr>
      </w:pPr>
    </w:p>
    <w:p w14:paraId="248B9DBB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29"/>
        <w:gridCol w:w="2634"/>
        <w:gridCol w:w="363"/>
        <w:gridCol w:w="1312"/>
        <w:gridCol w:w="1892"/>
      </w:tblGrid>
      <w:tr w:rsidR="00657593" w14:paraId="5D552344" w14:textId="77777777" w:rsidTr="003F2D57">
        <w:trPr>
          <w:trHeight w:val="851"/>
        </w:trPr>
        <w:tc>
          <w:tcPr>
            <w:tcW w:w="3208" w:type="dxa"/>
          </w:tcPr>
          <w:p w14:paraId="1B2EE148" w14:textId="77777777" w:rsidR="00657593" w:rsidRDefault="00657593" w:rsidP="00C03917"/>
        </w:tc>
        <w:tc>
          <w:tcPr>
            <w:tcW w:w="3226" w:type="dxa"/>
            <w:gridSpan w:val="3"/>
            <w:vMerge w:val="restart"/>
          </w:tcPr>
          <w:p w14:paraId="70855288" w14:textId="77777777" w:rsidR="00657593" w:rsidRDefault="00657593" w:rsidP="00C03917">
            <w:pPr>
              <w:jc w:val="center"/>
            </w:pPr>
            <w:r>
              <w:object w:dxaOrig="1595" w:dyaOrig="2201" w14:anchorId="7BC1C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48.3pt" o:ole="">
                  <v:imagedata r:id="rId12" o:title=""/>
                </v:shape>
                <o:OLEObject Type="Embed" ProgID="CorelDraw.Graphic.16" ShapeID="_x0000_i1025" DrawAspect="Content" ObjectID="_1819181346" r:id="rId13"/>
              </w:object>
            </w:r>
          </w:p>
        </w:tc>
        <w:tc>
          <w:tcPr>
            <w:tcW w:w="3204" w:type="dxa"/>
            <w:gridSpan w:val="2"/>
          </w:tcPr>
          <w:p w14:paraId="45BC2145" w14:textId="089CFFAC" w:rsidR="00657593" w:rsidRDefault="00BE7F33" w:rsidP="00027D56">
            <w:pPr>
              <w:jc w:val="right"/>
            </w:pPr>
            <w:r>
              <w:t>П</w:t>
            </w:r>
            <w:r w:rsidR="00027D56">
              <w:t>роєкт</w:t>
            </w:r>
            <w:bookmarkStart w:id="0" w:name="_GoBack"/>
            <w:bookmarkEnd w:id="0"/>
          </w:p>
        </w:tc>
      </w:tr>
      <w:tr w:rsidR="00657593" w14:paraId="5C1FAAB5" w14:textId="77777777" w:rsidTr="003F2D57">
        <w:tc>
          <w:tcPr>
            <w:tcW w:w="3208" w:type="dxa"/>
          </w:tcPr>
          <w:p w14:paraId="2636C152" w14:textId="77777777" w:rsidR="00657593" w:rsidRDefault="00657593" w:rsidP="00C03917"/>
        </w:tc>
        <w:tc>
          <w:tcPr>
            <w:tcW w:w="3226" w:type="dxa"/>
            <w:gridSpan w:val="3"/>
            <w:vMerge/>
          </w:tcPr>
          <w:p w14:paraId="1DA3238F" w14:textId="77777777" w:rsidR="00657593" w:rsidRDefault="00657593" w:rsidP="00C03917"/>
        </w:tc>
        <w:tc>
          <w:tcPr>
            <w:tcW w:w="3204" w:type="dxa"/>
            <w:gridSpan w:val="2"/>
          </w:tcPr>
          <w:p w14:paraId="1697E457" w14:textId="77777777" w:rsidR="00657593" w:rsidRDefault="00657593" w:rsidP="00C03917"/>
        </w:tc>
      </w:tr>
      <w:tr w:rsidR="00657593" w14:paraId="44659E5B" w14:textId="77777777" w:rsidTr="003F2D57">
        <w:tc>
          <w:tcPr>
            <w:tcW w:w="9638" w:type="dxa"/>
            <w:gridSpan w:val="6"/>
          </w:tcPr>
          <w:p w14:paraId="45E4B812" w14:textId="77777777" w:rsidR="00657593" w:rsidRPr="00E10F0A" w:rsidRDefault="00657593" w:rsidP="00C03917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2766DF7" w14:textId="77777777" w:rsidR="00657593" w:rsidRDefault="00657593" w:rsidP="00C03917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657593" w14:paraId="14FB481A" w14:textId="77777777" w:rsidTr="00CF0476">
        <w:trPr>
          <w:trHeight w:val="830"/>
        </w:trPr>
        <w:tc>
          <w:tcPr>
            <w:tcW w:w="3437" w:type="dxa"/>
            <w:gridSpan w:val="2"/>
            <w:vAlign w:val="bottom"/>
          </w:tcPr>
          <w:p w14:paraId="0978EC31" w14:textId="77777777" w:rsidR="00657593" w:rsidRPr="00AF5EDA" w:rsidRDefault="00657593" w:rsidP="00C03917"/>
        </w:tc>
        <w:tc>
          <w:tcPr>
            <w:tcW w:w="2634" w:type="dxa"/>
          </w:tcPr>
          <w:p w14:paraId="7F09D330" w14:textId="77777777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675" w:type="dxa"/>
            <w:gridSpan w:val="2"/>
            <w:vAlign w:val="bottom"/>
          </w:tcPr>
          <w:p w14:paraId="36F7CBE7" w14:textId="77777777" w:rsidR="00657593" w:rsidRPr="00101D5A" w:rsidRDefault="00101D5A" w:rsidP="00E62607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  <w:r w:rsidR="004449FE">
              <w:rPr>
                <w:color w:val="FFFFFF" w:themeColor="background1"/>
              </w:rPr>
              <w:t>0606</w:t>
            </w:r>
          </w:p>
        </w:tc>
        <w:tc>
          <w:tcPr>
            <w:tcW w:w="1892" w:type="dxa"/>
            <w:vAlign w:val="bottom"/>
          </w:tcPr>
          <w:p w14:paraId="5B56334F" w14:textId="77777777" w:rsidR="00657593" w:rsidRDefault="00657593" w:rsidP="00290169">
            <w:pPr>
              <w:jc w:val="left"/>
            </w:pPr>
          </w:p>
        </w:tc>
      </w:tr>
    </w:tbl>
    <w:p w14:paraId="0709BE3A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682759" w14:paraId="33DF18E9" w14:textId="77777777" w:rsidTr="005212C5">
        <w:trPr>
          <w:jc w:val="center"/>
        </w:trPr>
        <w:tc>
          <w:tcPr>
            <w:tcW w:w="5000" w:type="pct"/>
          </w:tcPr>
          <w:p w14:paraId="1BD37411" w14:textId="7608AF6C" w:rsidR="002B3F71" w:rsidRPr="00682759" w:rsidRDefault="00455BA6" w:rsidP="00A7235B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682759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B81CEB" w:rsidRPr="00682759">
              <w:rPr>
                <w:rFonts w:eastAsiaTheme="minorEastAsia"/>
                <w:color w:val="000000" w:themeColor="text1"/>
                <w:lang w:eastAsia="en-US"/>
              </w:rPr>
              <w:t>затвердження</w:t>
            </w:r>
            <w:r w:rsidRPr="00682759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  <w:r w:rsidR="000B2DAD">
              <w:rPr>
                <w:rFonts w:eastAsiaTheme="minorEastAsia"/>
                <w:color w:val="000000" w:themeColor="text1"/>
                <w:lang w:eastAsia="en-US"/>
              </w:rPr>
              <w:t>З</w:t>
            </w:r>
            <w:r w:rsidRPr="00682759">
              <w:rPr>
                <w:rFonts w:eastAsiaTheme="minorEastAsia"/>
                <w:color w:val="000000" w:themeColor="text1"/>
                <w:lang w:eastAsia="en-US"/>
              </w:rPr>
              <w:t xml:space="preserve">мін </w:t>
            </w:r>
            <w:r w:rsidR="00A25014" w:rsidRPr="00682759">
              <w:rPr>
                <w:rFonts w:eastAsiaTheme="minorEastAsia"/>
                <w:color w:val="000000" w:themeColor="text1"/>
                <w:lang w:eastAsia="en-US"/>
              </w:rPr>
              <w:t xml:space="preserve">до </w:t>
            </w:r>
            <w:r w:rsidR="00E808FA" w:rsidRPr="00682759">
              <w:rPr>
                <w:bCs/>
              </w:rPr>
              <w:t>Положення про провадження Національним банком України депозитарної діяльності депозитарної установи</w:t>
            </w:r>
          </w:p>
          <w:p w14:paraId="1A185E1C" w14:textId="77777777" w:rsidR="00324D51" w:rsidRPr="00682759" w:rsidRDefault="00324D51" w:rsidP="00A7235B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</w:tbl>
    <w:p w14:paraId="10CB7A17" w14:textId="77777777" w:rsidR="00A53BFB" w:rsidRPr="00DD19B3" w:rsidRDefault="00BF452C" w:rsidP="00ED72DC">
      <w:pPr>
        <w:ind w:firstLine="708"/>
        <w:rPr>
          <w:rFonts w:eastAsiaTheme="minorEastAsia"/>
          <w:b/>
          <w:color w:val="000000" w:themeColor="text1"/>
          <w:lang w:eastAsia="en-US"/>
        </w:rPr>
      </w:pPr>
      <w:r w:rsidRPr="00682759">
        <w:rPr>
          <w:rFonts w:eastAsiaTheme="minorEastAsia"/>
          <w:color w:val="000000" w:themeColor="text1"/>
          <w:lang w:eastAsia="en-US"/>
        </w:rPr>
        <w:tab/>
      </w:r>
      <w:r w:rsidR="00A25014" w:rsidRPr="00682759">
        <w:rPr>
          <w:rFonts w:eastAsiaTheme="minorEastAsia"/>
          <w:color w:val="000000" w:themeColor="text1"/>
          <w:lang w:eastAsia="en-US"/>
        </w:rPr>
        <w:t xml:space="preserve">Відповідно до статей 7, 15, 56 Закону України “Про Національний банк України”, статей 13, 17, 20 Закону України “Про депозитарну систему </w:t>
      </w:r>
      <w:r w:rsidR="00A25014" w:rsidRPr="00DD19B3">
        <w:rPr>
          <w:rFonts w:eastAsiaTheme="minorEastAsia"/>
          <w:color w:val="000000" w:themeColor="text1"/>
          <w:lang w:eastAsia="en-US"/>
        </w:rPr>
        <w:t xml:space="preserve">України”, з метою </w:t>
      </w:r>
      <w:r w:rsidR="00ED72DC" w:rsidRPr="00DD19B3">
        <w:t>вдосконалення та підвищення ефективності</w:t>
      </w:r>
      <w:r w:rsidR="00ED72DC" w:rsidRPr="00DD19B3">
        <w:rPr>
          <w:lang w:val="ru-RU"/>
        </w:rPr>
        <w:t xml:space="preserve"> </w:t>
      </w:r>
      <w:r w:rsidR="00ED72DC" w:rsidRPr="00DD19B3">
        <w:rPr>
          <w:rFonts w:eastAsiaTheme="minorEastAsia"/>
          <w:color w:val="000000" w:themeColor="text1"/>
          <w:lang w:eastAsia="en-US"/>
        </w:rPr>
        <w:t>взаємодії між Національним банком України як депозитарною установою та депонентами Національного банку України</w:t>
      </w:r>
      <w:r w:rsidR="00ED72DC" w:rsidRPr="00DD19B3">
        <w:t xml:space="preserve">, а також приведення нормативно-правового </w:t>
      </w:r>
      <w:proofErr w:type="spellStart"/>
      <w:r w:rsidR="00ED72DC" w:rsidRPr="00DD19B3">
        <w:t>акта</w:t>
      </w:r>
      <w:proofErr w:type="spellEnd"/>
      <w:r w:rsidR="00ED72DC" w:rsidRPr="00DD19B3">
        <w:t xml:space="preserve"> Національного банку України  у відповідність до вимог законодавства України,</w:t>
      </w:r>
      <w:r w:rsidR="00A25014" w:rsidRPr="00DD19B3">
        <w:rPr>
          <w:rFonts w:eastAsiaTheme="minorEastAsia"/>
          <w:color w:val="000000" w:themeColor="text1"/>
          <w:lang w:eastAsia="en-US"/>
        </w:rPr>
        <w:t xml:space="preserve"> Правління Національного банку України </w:t>
      </w:r>
      <w:r w:rsidR="00A25014" w:rsidRPr="00DD19B3">
        <w:rPr>
          <w:rFonts w:eastAsiaTheme="minorEastAsia"/>
          <w:b/>
          <w:color w:val="000000" w:themeColor="text1"/>
          <w:lang w:eastAsia="en-US"/>
        </w:rPr>
        <w:t>постановляє</w:t>
      </w:r>
      <w:r w:rsidR="00FA508E" w:rsidRPr="00DD19B3">
        <w:rPr>
          <w:rFonts w:eastAsiaTheme="minorEastAsia"/>
          <w:b/>
          <w:color w:val="000000" w:themeColor="text1"/>
          <w:lang w:eastAsia="en-US"/>
        </w:rPr>
        <w:t>:</w:t>
      </w:r>
    </w:p>
    <w:p w14:paraId="691776DB" w14:textId="77777777" w:rsidR="003E3634" w:rsidRPr="00DD19B3" w:rsidRDefault="003E3634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</w:p>
    <w:p w14:paraId="443799BB" w14:textId="51B03832" w:rsidR="00324D51" w:rsidRPr="00DD19B3" w:rsidRDefault="00467DDA" w:rsidP="00467DDA">
      <w:pPr>
        <w:pStyle w:val="af3"/>
        <w:ind w:left="0" w:firstLine="567"/>
        <w:rPr>
          <w:bCs/>
          <w:lang w:eastAsia="en-US"/>
        </w:rPr>
      </w:pPr>
      <w:r w:rsidRPr="00DD19B3">
        <w:rPr>
          <w:bCs/>
          <w:lang w:eastAsia="en-US"/>
        </w:rPr>
        <w:t xml:space="preserve">1. </w:t>
      </w:r>
      <w:r w:rsidR="003E3634" w:rsidRPr="00DD19B3">
        <w:rPr>
          <w:bCs/>
          <w:lang w:eastAsia="en-US"/>
        </w:rPr>
        <w:t xml:space="preserve">Затвердити Зміни </w:t>
      </w:r>
      <w:r w:rsidR="000B2DAD">
        <w:rPr>
          <w:bCs/>
          <w:lang w:eastAsia="en-US"/>
        </w:rPr>
        <w:t xml:space="preserve">до </w:t>
      </w:r>
      <w:r w:rsidR="003E3634" w:rsidRPr="00DD19B3">
        <w:rPr>
          <w:bCs/>
          <w:lang w:eastAsia="en-US"/>
        </w:rPr>
        <w:t>Положення про провадження Національним банком України депозитарної діяльності депозитарної установи, затвердженого постановою Правління Національного банку України від 03 липня 2024</w:t>
      </w:r>
      <w:r w:rsidR="0094246E">
        <w:rPr>
          <w:bCs/>
          <w:lang w:eastAsia="en-US"/>
        </w:rPr>
        <w:t xml:space="preserve"> року</w:t>
      </w:r>
      <w:r w:rsidR="003E3634" w:rsidRPr="00DD19B3">
        <w:rPr>
          <w:bCs/>
          <w:lang w:eastAsia="en-US"/>
        </w:rPr>
        <w:t xml:space="preserve"> </w:t>
      </w:r>
      <w:r w:rsidR="0094246E">
        <w:rPr>
          <w:bCs/>
          <w:lang w:eastAsia="en-US"/>
        </w:rPr>
        <w:t xml:space="preserve">      </w:t>
      </w:r>
      <w:r w:rsidR="003E3634" w:rsidRPr="00DD19B3">
        <w:rPr>
          <w:bCs/>
          <w:lang w:eastAsia="en-US"/>
        </w:rPr>
        <w:t>№ 78 (зі змінами), що додаються.</w:t>
      </w:r>
    </w:p>
    <w:p w14:paraId="24118389" w14:textId="77777777" w:rsidR="00467DDA" w:rsidRPr="00DD19B3" w:rsidRDefault="00467DDA" w:rsidP="00467DDA">
      <w:pPr>
        <w:pStyle w:val="af3"/>
        <w:ind w:left="0" w:firstLine="567"/>
        <w:rPr>
          <w:bCs/>
          <w:lang w:eastAsia="en-US"/>
        </w:rPr>
      </w:pPr>
    </w:p>
    <w:p w14:paraId="4EEFE820" w14:textId="77777777" w:rsidR="00467DDA" w:rsidRPr="00682759" w:rsidRDefault="00467DDA" w:rsidP="00467DDA">
      <w:pPr>
        <w:pStyle w:val="af3"/>
        <w:ind w:left="0" w:firstLine="567"/>
        <w:rPr>
          <w:bCs/>
          <w:lang w:eastAsia="en-US"/>
        </w:rPr>
      </w:pPr>
      <w:r w:rsidRPr="00DD19B3">
        <w:rPr>
          <w:bCs/>
          <w:lang w:eastAsia="en-US"/>
        </w:rPr>
        <w:t>2. Управлінню корпоративних прав та депозитарної діяльності Національного банку України (Андрій Супрун) після офіційного опублікування довести до відома депонентів та/або клієнтів депозитарної установи Національного банку України інформацію про прийняття цієї постанови.</w:t>
      </w:r>
    </w:p>
    <w:p w14:paraId="64A8E6CB" w14:textId="77777777" w:rsidR="00467DDA" w:rsidRPr="00682759" w:rsidRDefault="00467DDA" w:rsidP="00467DDA">
      <w:pPr>
        <w:pStyle w:val="af3"/>
        <w:ind w:left="0" w:firstLine="567"/>
        <w:rPr>
          <w:bCs/>
          <w:lang w:eastAsia="en-US"/>
        </w:rPr>
      </w:pPr>
    </w:p>
    <w:p w14:paraId="3EAAEB6A" w14:textId="77777777" w:rsidR="00467DDA" w:rsidRPr="00682759" w:rsidRDefault="00467DDA" w:rsidP="00467DDA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3. Контроль за виконанням цієї постанови покласти на заступника Голови Національного банку України Юрія </w:t>
      </w:r>
      <w:proofErr w:type="spellStart"/>
      <w:r w:rsidRPr="00682759">
        <w:rPr>
          <w:bCs/>
          <w:lang w:eastAsia="en-US"/>
        </w:rPr>
        <w:t>Гелетія</w:t>
      </w:r>
      <w:proofErr w:type="spellEnd"/>
      <w:r w:rsidRPr="00682759">
        <w:rPr>
          <w:bCs/>
          <w:lang w:eastAsia="en-US"/>
        </w:rPr>
        <w:t>.</w:t>
      </w:r>
    </w:p>
    <w:p w14:paraId="3E160A0A" w14:textId="77777777" w:rsidR="00467DDA" w:rsidRPr="00682759" w:rsidRDefault="00467DDA" w:rsidP="00467DDA">
      <w:pPr>
        <w:pStyle w:val="af3"/>
        <w:ind w:left="0" w:firstLine="567"/>
        <w:rPr>
          <w:bCs/>
          <w:lang w:eastAsia="en-US"/>
        </w:rPr>
      </w:pPr>
    </w:p>
    <w:p w14:paraId="6E8BF4E0" w14:textId="77777777" w:rsidR="00467DDA" w:rsidRPr="00682759" w:rsidRDefault="00467DDA" w:rsidP="00467DDA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>4. Постанова набирає чинності з дня, наступного за днем її офіційного опублікування.</w:t>
      </w:r>
    </w:p>
    <w:p w14:paraId="0A3E2E03" w14:textId="77777777" w:rsidR="00467DDA" w:rsidRPr="00682759" w:rsidRDefault="00467DDA" w:rsidP="00467DDA">
      <w:pPr>
        <w:pStyle w:val="af3"/>
        <w:ind w:left="927"/>
        <w:rPr>
          <w:color w:val="000000" w:themeColor="text1"/>
          <w:lang w:eastAsia="ru-RU"/>
        </w:rPr>
      </w:pPr>
    </w:p>
    <w:p w14:paraId="0E77EDA7" w14:textId="77777777" w:rsidR="00467DDA" w:rsidRPr="00682759" w:rsidRDefault="00467DDA" w:rsidP="00467DDA">
      <w:pPr>
        <w:pStyle w:val="af3"/>
        <w:ind w:left="927"/>
        <w:rPr>
          <w:color w:val="000000" w:themeColor="text1"/>
          <w:lang w:eastAsia="ru-RU"/>
        </w:rPr>
      </w:pPr>
    </w:p>
    <w:p w14:paraId="29E4DADD" w14:textId="77777777" w:rsidR="00467DDA" w:rsidRPr="00682759" w:rsidRDefault="00467DDA" w:rsidP="00467DDA">
      <w:pPr>
        <w:pStyle w:val="af3"/>
        <w:ind w:left="927"/>
        <w:rPr>
          <w:color w:val="000000" w:themeColor="text1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67DDA" w:rsidRPr="00682759" w14:paraId="03CD8836" w14:textId="77777777" w:rsidTr="00195252">
        <w:tc>
          <w:tcPr>
            <w:tcW w:w="5387" w:type="dxa"/>
            <w:vAlign w:val="bottom"/>
          </w:tcPr>
          <w:p w14:paraId="4BAD16CB" w14:textId="77777777" w:rsidR="00467DDA" w:rsidRPr="00682759" w:rsidRDefault="00467DDA" w:rsidP="00195252">
            <w:pPr>
              <w:autoSpaceDE w:val="0"/>
              <w:autoSpaceDN w:val="0"/>
              <w:ind w:left="-111"/>
              <w:jc w:val="left"/>
            </w:pPr>
            <w:r w:rsidRPr="00682759">
              <w:t>Голова</w:t>
            </w:r>
          </w:p>
        </w:tc>
        <w:tc>
          <w:tcPr>
            <w:tcW w:w="4252" w:type="dxa"/>
            <w:vAlign w:val="bottom"/>
          </w:tcPr>
          <w:p w14:paraId="4A5040AA" w14:textId="77777777" w:rsidR="00467DDA" w:rsidRPr="00682759" w:rsidRDefault="00467DDA" w:rsidP="0019525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682759">
              <w:t>Андрій ПИШНИЙ</w:t>
            </w:r>
          </w:p>
        </w:tc>
      </w:tr>
    </w:tbl>
    <w:p w14:paraId="7EEF39E8" w14:textId="77777777" w:rsidR="00467DDA" w:rsidRPr="00682759" w:rsidRDefault="00467DDA" w:rsidP="00467DDA"/>
    <w:p w14:paraId="3A8D859F" w14:textId="77777777" w:rsidR="00467DDA" w:rsidRPr="00682759" w:rsidRDefault="00467DDA" w:rsidP="00467DDA"/>
    <w:p w14:paraId="624C06D7" w14:textId="77777777" w:rsidR="00467DDA" w:rsidRPr="00682759" w:rsidRDefault="00467DDA" w:rsidP="00467DDA">
      <w:pPr>
        <w:jc w:val="left"/>
      </w:pPr>
      <w:r w:rsidRPr="00682759">
        <w:t>Інд. 42</w:t>
      </w:r>
    </w:p>
    <w:p w14:paraId="19AF5D65" w14:textId="77777777" w:rsidR="00467DDA" w:rsidRPr="00682759" w:rsidRDefault="00467DDA" w:rsidP="00467DDA">
      <w:pPr>
        <w:spacing w:after="200" w:line="276" w:lineRule="auto"/>
        <w:jc w:val="left"/>
      </w:pPr>
    </w:p>
    <w:p w14:paraId="779EA5C2" w14:textId="77777777" w:rsidR="00B81CEB" w:rsidRPr="00682759" w:rsidRDefault="00B81CEB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1C49FAEA" w14:textId="77777777" w:rsidR="00467DDA" w:rsidRPr="00682759" w:rsidRDefault="00467DDA" w:rsidP="000C0247">
      <w:pPr>
        <w:pStyle w:val="afb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82759">
        <w:rPr>
          <w:sz w:val="28"/>
          <w:szCs w:val="28"/>
        </w:rPr>
        <w:t xml:space="preserve">ЗАТВЕРДЖЕНО </w:t>
      </w:r>
    </w:p>
    <w:p w14:paraId="5D2BAB2A" w14:textId="77777777" w:rsidR="00467DDA" w:rsidRPr="00682759" w:rsidRDefault="00467DDA" w:rsidP="000C0247">
      <w:pPr>
        <w:pStyle w:val="afb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82759">
        <w:rPr>
          <w:sz w:val="28"/>
          <w:szCs w:val="28"/>
        </w:rPr>
        <w:t xml:space="preserve">Постанова Правління </w:t>
      </w:r>
    </w:p>
    <w:p w14:paraId="6F524106" w14:textId="77777777" w:rsidR="00467DDA" w:rsidRPr="00682759" w:rsidRDefault="00467DDA" w:rsidP="000C0247">
      <w:pPr>
        <w:pStyle w:val="afb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82759">
        <w:rPr>
          <w:sz w:val="28"/>
          <w:szCs w:val="28"/>
        </w:rPr>
        <w:t xml:space="preserve">Національного банку України </w:t>
      </w:r>
    </w:p>
    <w:p w14:paraId="41956A0E" w14:textId="77777777" w:rsidR="00467DDA" w:rsidRPr="00682759" w:rsidRDefault="00467DDA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C128410" w14:textId="77777777" w:rsidR="00467DDA" w:rsidRPr="00682759" w:rsidRDefault="00467DDA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611FA6" w14:textId="77777777" w:rsidR="00467DDA" w:rsidRPr="00682759" w:rsidRDefault="00467DDA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207E1DE" w14:textId="77777777" w:rsidR="00B81CEB" w:rsidRPr="00682759" w:rsidRDefault="00467DDA" w:rsidP="00682759">
      <w:pPr>
        <w:pStyle w:val="afb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682759">
        <w:rPr>
          <w:sz w:val="28"/>
          <w:szCs w:val="28"/>
        </w:rPr>
        <w:t xml:space="preserve">Зміни до </w:t>
      </w:r>
      <w:r w:rsidR="00682759" w:rsidRPr="00682759">
        <w:rPr>
          <w:color w:val="000000" w:themeColor="text1"/>
          <w:sz w:val="28"/>
          <w:szCs w:val="28"/>
          <w:lang w:eastAsia="ru-RU"/>
        </w:rPr>
        <w:t xml:space="preserve">Положення </w:t>
      </w:r>
      <w:r w:rsidR="00682759" w:rsidRPr="00682759">
        <w:rPr>
          <w:bCs/>
          <w:sz w:val="28"/>
          <w:szCs w:val="28"/>
        </w:rPr>
        <w:t>про провадження Національним банком України депозитарної діяльності депозитарної установи</w:t>
      </w:r>
    </w:p>
    <w:p w14:paraId="6370F530" w14:textId="77777777" w:rsidR="00B81CEB" w:rsidRPr="00682759" w:rsidRDefault="00B81CEB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7F7B0FB8" w14:textId="77777777" w:rsidR="00B81CEB" w:rsidRPr="00682759" w:rsidRDefault="00B81CEB" w:rsidP="00A7235B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08DDB92E" w14:textId="6AB04544" w:rsidR="003B0F64" w:rsidRPr="00CA691A" w:rsidRDefault="00FF2F6B" w:rsidP="007354E4">
      <w:pPr>
        <w:pStyle w:val="af3"/>
        <w:numPr>
          <w:ilvl w:val="0"/>
          <w:numId w:val="34"/>
        </w:numPr>
      </w:pPr>
      <w:r>
        <w:t xml:space="preserve">Пункт </w:t>
      </w:r>
      <w:r w:rsidR="00922DAC">
        <w:t xml:space="preserve">1 </w:t>
      </w:r>
      <w:r>
        <w:t>р</w:t>
      </w:r>
      <w:r w:rsidR="00B632C3" w:rsidRPr="00682759">
        <w:t>озділ</w:t>
      </w:r>
      <w:r w:rsidR="00E56D3F">
        <w:t>у</w:t>
      </w:r>
      <w:r w:rsidR="00B632C3" w:rsidRPr="00682759">
        <w:t xml:space="preserve"> </w:t>
      </w:r>
      <w:r w:rsidR="00B632C3" w:rsidRPr="008271BE">
        <w:rPr>
          <w:rFonts w:eastAsiaTheme="minorEastAsia"/>
          <w:noProof/>
          <w:color w:val="000000" w:themeColor="text1"/>
          <w:lang w:eastAsia="en-US"/>
        </w:rPr>
        <w:t>І</w:t>
      </w:r>
      <w:r w:rsidRPr="008271BE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3B0F64" w:rsidRPr="00CA691A">
        <w:t>викласти в такій редакції:</w:t>
      </w:r>
    </w:p>
    <w:p w14:paraId="1D826F37" w14:textId="66C4BBE5" w:rsidR="003B0F64" w:rsidRPr="00B01645" w:rsidRDefault="00536C22" w:rsidP="000C0247">
      <w:pPr>
        <w:shd w:val="clear" w:color="auto" w:fill="FFFFFF"/>
        <w:ind w:firstLine="448"/>
        <w:rPr>
          <w:bCs/>
          <w:lang w:eastAsia="en-US"/>
        </w:rPr>
      </w:pPr>
      <w:r w:rsidRPr="000C0247">
        <w:rPr>
          <w:bCs/>
          <w:lang w:eastAsia="en-US"/>
        </w:rPr>
        <w:t>“</w:t>
      </w:r>
      <w:r w:rsidR="003B0F64" w:rsidRPr="000C0247">
        <w:rPr>
          <w:bCs/>
          <w:lang w:eastAsia="en-US"/>
        </w:rPr>
        <w:t xml:space="preserve">1. Це Положення розроблено відповідно до </w:t>
      </w:r>
      <w:hyperlink r:id="rId14" w:tgtFrame="_blank" w:history="1">
        <w:r w:rsidR="003B0F64" w:rsidRPr="000C0247">
          <w:rPr>
            <w:bCs/>
            <w:lang w:eastAsia="en-US"/>
          </w:rPr>
          <w:t>Закон</w:t>
        </w:r>
        <w:r w:rsidR="00C55252">
          <w:rPr>
            <w:bCs/>
            <w:lang w:eastAsia="en-US"/>
          </w:rPr>
          <w:t xml:space="preserve">ів </w:t>
        </w:r>
        <w:r w:rsidR="003B0F64" w:rsidRPr="000C0247">
          <w:rPr>
            <w:bCs/>
            <w:lang w:eastAsia="en-US"/>
          </w:rPr>
          <w:t>України</w:t>
        </w:r>
      </w:hyperlink>
      <w:r w:rsidR="003B0F64" w:rsidRPr="000C0247">
        <w:rPr>
          <w:bCs/>
          <w:lang w:eastAsia="en-US"/>
        </w:rPr>
        <w:t xml:space="preserve"> “Про Національний банк України”, </w:t>
      </w:r>
      <w:hyperlink r:id="rId15" w:tgtFrame="_blank" w:history="1"/>
      <w:r w:rsidR="003B0F64" w:rsidRPr="000C0247">
        <w:rPr>
          <w:bCs/>
          <w:lang w:eastAsia="en-US"/>
        </w:rPr>
        <w:t xml:space="preserve"> “Про депозитарну систему України” (далі - Закон), “Про ринки капіталу та організовані товарні ринки”, “Про недержавне пенсійне забезп</w:t>
      </w:r>
      <w:r w:rsidR="000E3FDB">
        <w:rPr>
          <w:bCs/>
          <w:lang w:eastAsia="en-US"/>
        </w:rPr>
        <w:t>ечення” (далі - Закон про НПЗ),</w:t>
      </w:r>
      <w:r w:rsidR="003B0F64" w:rsidRPr="000C0247">
        <w:rPr>
          <w:bCs/>
          <w:lang w:eastAsia="en-US"/>
        </w:rPr>
        <w:t xml:space="preserve"> </w:t>
      </w:r>
      <w:hyperlink r:id="rId16" w:tgtFrame="_blank" w:history="1">
        <w:r w:rsidR="003B0F64" w:rsidRPr="000C0247">
          <w:rPr>
            <w:bCs/>
            <w:lang w:eastAsia="en-US"/>
          </w:rPr>
          <w:t>“Про фінансові послуги та фінансові компанії”</w:t>
        </w:r>
      </w:hyperlink>
      <w:r w:rsidR="003B0F64" w:rsidRPr="000C0247">
        <w:rPr>
          <w:bCs/>
          <w:lang w:eastAsia="en-US"/>
        </w:rPr>
        <w:t xml:space="preserve">, </w:t>
      </w:r>
      <w:hyperlink r:id="rId17" w:tgtFrame="_blank" w:history="1">
        <w:r w:rsidR="003B0F64" w:rsidRPr="000C0247">
          <w:rPr>
            <w:bCs/>
            <w:lang w:eastAsia="en-US"/>
          </w:rPr>
          <w:t>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  </w:r>
      </w:hyperlink>
      <w:r w:rsidR="003B0F64" w:rsidRPr="000C0247">
        <w:rPr>
          <w:bCs/>
          <w:lang w:eastAsia="en-US"/>
        </w:rPr>
        <w:t xml:space="preserve">, </w:t>
      </w:r>
      <w:hyperlink r:id="rId18" w:tgtFrame="_blank" w:history="1">
        <w:r w:rsidR="003B0F64" w:rsidRPr="000C0247">
          <w:rPr>
            <w:bCs/>
            <w:lang w:eastAsia="en-US"/>
          </w:rPr>
          <w:t>“Про санкції”</w:t>
        </w:r>
      </w:hyperlink>
      <w:r w:rsidR="003B0F64" w:rsidRPr="000C0247">
        <w:rPr>
          <w:bCs/>
          <w:lang w:eastAsia="en-US"/>
        </w:rPr>
        <w:t xml:space="preserve">, рішення Національної комісії з цінних паперів та фондового ринку від 13 жовтня 2015 року </w:t>
      </w:r>
      <w:hyperlink r:id="rId19" w:tgtFrame="_blank" w:history="1">
        <w:r w:rsidR="003B0F64" w:rsidRPr="000C0247">
          <w:rPr>
            <w:bCs/>
            <w:lang w:eastAsia="en-US"/>
          </w:rPr>
          <w:t>№ 1707</w:t>
        </w:r>
      </w:hyperlink>
      <w:r w:rsidR="003B0F64" w:rsidRPr="000C0247">
        <w:rPr>
          <w:bCs/>
          <w:lang w:eastAsia="en-US"/>
        </w:rPr>
        <w:t xml:space="preserve"> “Щодо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(санкцій)”, зареєстрованого в Міністерстві юстиції України 29 жовтня 2015 року за № 1325/27770 (зі змінами), рішення Національної комісії з цінних паперів та фондового ринку від 30 липня 2013 року </w:t>
      </w:r>
      <w:hyperlink r:id="rId20" w:tgtFrame="_blank" w:history="1">
        <w:r w:rsidR="003B0F64" w:rsidRPr="000C0247">
          <w:rPr>
            <w:bCs/>
            <w:lang w:eastAsia="en-US"/>
          </w:rPr>
          <w:t>№ 1331</w:t>
        </w:r>
      </w:hyperlink>
      <w:r w:rsidR="003B0F64" w:rsidRPr="000C0247">
        <w:rPr>
          <w:bCs/>
          <w:lang w:eastAsia="en-US"/>
        </w:rPr>
        <w:t xml:space="preserve"> “Про особливості провадження діяльності Національного банку України як учасника депозитарної системи України”, зареєстрованого в Міністерстві юстиції України 20 серпня 2013 року за № 1431/23963 (зі змінами) (далі - Рішення № 1331), </w:t>
      </w:r>
      <w:hyperlink r:id="rId21" w:anchor="n17" w:tgtFrame="_blank" w:history="1">
        <w:r w:rsidR="003B0F64" w:rsidRPr="000C0247">
          <w:rPr>
            <w:bCs/>
            <w:lang w:eastAsia="en-US"/>
          </w:rPr>
          <w:t>Положення про провадження депозитарної діяльності</w:t>
        </w:r>
      </w:hyperlink>
      <w:r w:rsidR="003B0F64" w:rsidRPr="000C0247">
        <w:rPr>
          <w:bCs/>
          <w:lang w:eastAsia="en-US"/>
        </w:rPr>
        <w:t xml:space="preserve">, затвердженого рішенням Національної комісії з цінних паперів та фондового ринку від 23 квітня 2013 року № 735, зареєстрованого в Міністерстві юстиції України 27 червня 2013 року за № 1084/23616 (зі змінами) (далі - Положення № 735), </w:t>
      </w:r>
      <w:hyperlink r:id="rId22" w:anchor="n17" w:tgtFrame="_blank" w:history="1">
        <w:r w:rsidR="003B0F64" w:rsidRPr="000C0247">
          <w:rPr>
            <w:bCs/>
            <w:lang w:eastAsia="en-US"/>
          </w:rPr>
          <w:t>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</w:t>
        </w:r>
      </w:hyperlink>
      <w:r w:rsidR="003B0F64" w:rsidRPr="000C0247">
        <w:rPr>
          <w:bCs/>
          <w:lang w:eastAsia="en-US"/>
        </w:rPr>
        <w:t>, затвердженого постановою Правління Національного банку України від 21 грудня 2017 року № 140 (зі змінами) (далі - Положення № 140), інших нормативно-правових актів України, що регламентують провадження депозитарної діяльності</w:t>
      </w:r>
      <w:r w:rsidR="003B0F64" w:rsidRPr="002720AB">
        <w:rPr>
          <w:bCs/>
          <w:lang w:eastAsia="en-US"/>
        </w:rPr>
        <w:t xml:space="preserve">, </w:t>
      </w:r>
      <w:r w:rsidR="00B01645">
        <w:rPr>
          <w:bCs/>
          <w:lang w:eastAsia="en-US"/>
        </w:rPr>
        <w:t xml:space="preserve">та </w:t>
      </w:r>
      <w:r w:rsidR="003B0F64" w:rsidRPr="002720AB">
        <w:rPr>
          <w:bCs/>
          <w:lang w:eastAsia="en-US"/>
        </w:rPr>
        <w:t xml:space="preserve">з </w:t>
      </w:r>
      <w:r w:rsidR="00B01645">
        <w:rPr>
          <w:bCs/>
          <w:lang w:eastAsia="en-US"/>
        </w:rPr>
        <w:t>у</w:t>
      </w:r>
      <w:r w:rsidR="003B0F64" w:rsidRPr="002720AB">
        <w:rPr>
          <w:bCs/>
          <w:lang w:eastAsia="en-US"/>
        </w:rPr>
        <w:t xml:space="preserve">рахуванням вимог Положення про застосування Національним банком України стандартних інструментів регулювання ліквідності банківської системи, затвердженого постановою Правління </w:t>
      </w:r>
      <w:r w:rsidR="003B0F64" w:rsidRPr="002720AB">
        <w:rPr>
          <w:bCs/>
          <w:lang w:eastAsia="en-US"/>
        </w:rPr>
        <w:lastRenderedPageBreak/>
        <w:t>Національного банку України від 17 вересня 2015 року № 615 (зі змінами) (далі – Положення №</w:t>
      </w:r>
      <w:r w:rsidR="00D30973" w:rsidRPr="007354E4">
        <w:rPr>
          <w:bCs/>
          <w:lang w:eastAsia="en-US"/>
        </w:rPr>
        <w:t xml:space="preserve"> </w:t>
      </w:r>
      <w:r w:rsidR="003B0F64" w:rsidRPr="002720AB">
        <w:rPr>
          <w:bCs/>
          <w:lang w:eastAsia="en-US"/>
        </w:rPr>
        <w:t xml:space="preserve">615), </w:t>
      </w:r>
      <w:r w:rsidR="004D7AC8" w:rsidRPr="002720AB">
        <w:rPr>
          <w:bCs/>
          <w:lang w:eastAsia="en-US"/>
        </w:rPr>
        <w:t>Положення про екстрену підтримку Національним банком України ліквідності банків,</w:t>
      </w:r>
      <w:r w:rsidR="004D7AC8" w:rsidRPr="004D7AC8">
        <w:rPr>
          <w:bCs/>
          <w:lang w:eastAsia="en-US"/>
        </w:rPr>
        <w:t xml:space="preserve"> затвердженого постановою Правління Національного банку України від 14 грудня 2016 року № 411 (зі змінами) (далі – Положення № 411), Положення про проведення Національним банком України на міжбанківському ринку операцій </w:t>
      </w:r>
      <w:proofErr w:type="spellStart"/>
      <w:r w:rsidR="004D7AC8" w:rsidRPr="004D7AC8">
        <w:rPr>
          <w:bCs/>
          <w:lang w:eastAsia="en-US"/>
        </w:rPr>
        <w:t>своп</w:t>
      </w:r>
      <w:proofErr w:type="spellEnd"/>
      <w:r w:rsidR="004D7AC8" w:rsidRPr="004D7AC8">
        <w:rPr>
          <w:bCs/>
          <w:lang w:eastAsia="en-US"/>
        </w:rPr>
        <w:t xml:space="preserve"> процентної ставки, затвердженого постановою Правління Національного банку України від 28 травня 2020 року № 67 (зі змінами) (далі – Положення № 67) та Положення про передавання запасів готівки на зберігання до уповноважених банків та проведення операцій з ними, затвердженого постановою Правління Національного банку України від 17 вересня 2021 року № 95 (зі змінами) (далі – Положення № 95)</w:t>
      </w:r>
      <w:r w:rsidR="003B0F64" w:rsidRPr="000C0247">
        <w:rPr>
          <w:bCs/>
          <w:lang w:eastAsia="en-US"/>
        </w:rPr>
        <w:t>, з метою забезпечення провадження Національним банком України (далі- Національний банк) депозитарної діяльності депозитарної установи та діяльності із зберігання активів пенсійних фондів.</w:t>
      </w:r>
      <w:r w:rsidR="00B01645" w:rsidRPr="007354E4">
        <w:rPr>
          <w:bCs/>
          <w:lang w:eastAsia="en-US"/>
        </w:rPr>
        <w:t>”</w:t>
      </w:r>
      <w:r w:rsidR="00B01645">
        <w:rPr>
          <w:bCs/>
          <w:lang w:eastAsia="en-US"/>
        </w:rPr>
        <w:t>.</w:t>
      </w:r>
    </w:p>
    <w:p w14:paraId="3B0098A3" w14:textId="77777777" w:rsidR="00B632C3" w:rsidRPr="00B632C3" w:rsidRDefault="00B632C3" w:rsidP="00B632C3">
      <w:pPr>
        <w:pStyle w:val="af3"/>
        <w:ind w:left="927"/>
        <w:rPr>
          <w:rFonts w:eastAsiaTheme="minorEastAsia"/>
          <w:noProof/>
          <w:color w:val="000000" w:themeColor="text1"/>
          <w:lang w:eastAsia="en-US"/>
        </w:rPr>
      </w:pPr>
    </w:p>
    <w:p w14:paraId="20EC7C82" w14:textId="16469456" w:rsidR="004A34B3" w:rsidRPr="007354E4" w:rsidRDefault="00D739F7" w:rsidP="007354E4">
      <w:pPr>
        <w:ind w:left="567"/>
        <w:rPr>
          <w:rFonts w:eastAsiaTheme="minorEastAsia"/>
          <w:noProof/>
          <w:color w:val="000000" w:themeColor="text1"/>
          <w:lang w:eastAsia="en-US"/>
        </w:rPr>
      </w:pPr>
      <w:r>
        <w:t xml:space="preserve">2. </w:t>
      </w:r>
      <w:r w:rsidR="003B53F8">
        <w:t>Р</w:t>
      </w:r>
      <w:r w:rsidR="00EF28AE" w:rsidRPr="00682759">
        <w:t xml:space="preserve">озділ </w:t>
      </w:r>
      <w:r w:rsidR="00EF28AE" w:rsidRPr="007354E4">
        <w:rPr>
          <w:rFonts w:eastAsiaTheme="minorEastAsia"/>
          <w:noProof/>
          <w:color w:val="000000" w:themeColor="text1"/>
          <w:lang w:eastAsia="en-US"/>
        </w:rPr>
        <w:t>ІІІ</w:t>
      </w:r>
      <w:r w:rsidR="003B53F8" w:rsidRPr="007354E4">
        <w:rPr>
          <w:rFonts w:eastAsiaTheme="minorEastAsia"/>
          <w:noProof/>
          <w:color w:val="000000" w:themeColor="text1"/>
          <w:lang w:eastAsia="en-US"/>
        </w:rPr>
        <w:t xml:space="preserve"> після пункту 35</w:t>
      </w:r>
      <w:r w:rsidR="008A4F9B" w:rsidRPr="007354E4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EF28AE" w:rsidRPr="00682759">
        <w:t xml:space="preserve">доповнити новим пунктом </w:t>
      </w:r>
      <w:r w:rsidR="00DE2122" w:rsidRPr="00D739F7">
        <w:rPr>
          <w:bCs/>
          <w:lang w:eastAsia="en-US"/>
        </w:rPr>
        <w:t>35</w:t>
      </w:r>
      <w:r w:rsidR="00602625" w:rsidRPr="00D739F7">
        <w:rPr>
          <w:bCs/>
          <w:vertAlign w:val="superscript"/>
          <w:lang w:eastAsia="en-US"/>
        </w:rPr>
        <w:t>1</w:t>
      </w:r>
      <w:r w:rsidR="005B01DB" w:rsidRPr="007354E4">
        <w:rPr>
          <w:rFonts w:eastAsiaTheme="minorEastAsia"/>
          <w:noProof/>
          <w:color w:val="000000" w:themeColor="text1"/>
          <w:lang w:eastAsia="en-US"/>
        </w:rPr>
        <w:t xml:space="preserve"> такого змісту:</w:t>
      </w:r>
    </w:p>
    <w:p w14:paraId="2B715228" w14:textId="35EAC2F2" w:rsidR="00DE2122" w:rsidRPr="00682759" w:rsidRDefault="00602625" w:rsidP="00DE2122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>“</w:t>
      </w:r>
      <w:r w:rsidR="00DE2122" w:rsidRPr="00682759">
        <w:rPr>
          <w:bCs/>
          <w:lang w:eastAsia="en-US"/>
        </w:rPr>
        <w:t>35</w:t>
      </w:r>
      <w:r w:rsidR="00DE2122" w:rsidRPr="00682759">
        <w:rPr>
          <w:bCs/>
          <w:vertAlign w:val="superscript"/>
          <w:lang w:eastAsia="en-US"/>
        </w:rPr>
        <w:t>1</w:t>
      </w:r>
      <w:r w:rsidR="007222A8">
        <w:rPr>
          <w:bCs/>
          <w:lang w:eastAsia="en-US"/>
        </w:rPr>
        <w:t>.</w:t>
      </w:r>
      <w:r w:rsidR="00EF28AE" w:rsidRPr="00682759">
        <w:t xml:space="preserve"> </w:t>
      </w:r>
      <w:r w:rsidR="00DE2122" w:rsidRPr="00682759">
        <w:rPr>
          <w:bCs/>
          <w:lang w:eastAsia="en-US"/>
        </w:rPr>
        <w:t xml:space="preserve">Вимоги пункту 35 </w:t>
      </w:r>
      <w:r w:rsidR="003906B9">
        <w:rPr>
          <w:bCs/>
          <w:lang w:eastAsia="en-US"/>
        </w:rPr>
        <w:t xml:space="preserve">розділу </w:t>
      </w:r>
      <w:r w:rsidR="003906B9">
        <w:rPr>
          <w:bCs/>
          <w:lang w:val="en-US" w:eastAsia="en-US"/>
        </w:rPr>
        <w:t>III</w:t>
      </w:r>
      <w:r w:rsidR="003906B9">
        <w:rPr>
          <w:bCs/>
          <w:lang w:eastAsia="en-US"/>
        </w:rPr>
        <w:t xml:space="preserve"> </w:t>
      </w:r>
      <w:r w:rsidR="00DE2122" w:rsidRPr="00682759">
        <w:rPr>
          <w:bCs/>
          <w:lang w:eastAsia="en-US"/>
        </w:rPr>
        <w:t>цього Положення не поширюються на:</w:t>
      </w:r>
    </w:p>
    <w:p w14:paraId="578AC1B9" w14:textId="77777777" w:rsidR="003906B9" w:rsidRDefault="003906B9" w:rsidP="00536C22">
      <w:pPr>
        <w:pStyle w:val="af3"/>
        <w:ind w:left="0" w:firstLine="567"/>
        <w:rPr>
          <w:bCs/>
          <w:lang w:eastAsia="en-US"/>
        </w:rPr>
      </w:pPr>
    </w:p>
    <w:p w14:paraId="35699496" w14:textId="164A7607" w:rsidR="00536C22" w:rsidRPr="00536C22" w:rsidRDefault="00E230CD" w:rsidP="00536C22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1) </w:t>
      </w:r>
      <w:r w:rsidR="00536C22" w:rsidRPr="00536C22">
        <w:rPr>
          <w:bCs/>
          <w:lang w:eastAsia="en-US"/>
        </w:rPr>
        <w:t xml:space="preserve">виплати доходів та/або виплати погашення за цінними паперами, які заблоковані на користь Національного банку, та здійснюються </w:t>
      </w:r>
      <w:r w:rsidR="003B0F64" w:rsidRPr="000C0247">
        <w:rPr>
          <w:bCs/>
          <w:lang w:eastAsia="en-US"/>
        </w:rPr>
        <w:t xml:space="preserve">відповідно до вимог Положення № 615, Положення № </w:t>
      </w:r>
      <w:r w:rsidR="002720AB">
        <w:rPr>
          <w:bCs/>
          <w:lang w:eastAsia="en-US"/>
        </w:rPr>
        <w:t>411</w:t>
      </w:r>
      <w:r w:rsidR="003B0F64" w:rsidRPr="000C0247">
        <w:rPr>
          <w:bCs/>
          <w:lang w:eastAsia="en-US"/>
        </w:rPr>
        <w:t xml:space="preserve">, Положення № 67 та Положення </w:t>
      </w:r>
      <w:r w:rsidR="000C0247">
        <w:rPr>
          <w:bCs/>
          <w:lang w:eastAsia="en-US"/>
        </w:rPr>
        <w:t xml:space="preserve">         </w:t>
      </w:r>
      <w:r w:rsidR="003B0F64" w:rsidRPr="000C0247">
        <w:rPr>
          <w:bCs/>
          <w:lang w:eastAsia="en-US"/>
        </w:rPr>
        <w:t xml:space="preserve">№ </w:t>
      </w:r>
      <w:r w:rsidR="002720AB">
        <w:rPr>
          <w:bCs/>
          <w:lang w:eastAsia="en-US"/>
        </w:rPr>
        <w:t>95</w:t>
      </w:r>
      <w:r w:rsidR="00536C22" w:rsidRPr="00536C22">
        <w:rPr>
          <w:bCs/>
          <w:lang w:eastAsia="en-US"/>
        </w:rPr>
        <w:t xml:space="preserve">.  Виплати доходів та/або виплати погашення за цінними паперами, які входять до гарантійного фонду за операціями </w:t>
      </w:r>
      <w:proofErr w:type="spellStart"/>
      <w:r w:rsidR="00536C22" w:rsidRPr="00536C22">
        <w:rPr>
          <w:bCs/>
          <w:lang w:eastAsia="en-US"/>
        </w:rPr>
        <w:t>своп</w:t>
      </w:r>
      <w:proofErr w:type="spellEnd"/>
      <w:r w:rsidR="00536C22" w:rsidRPr="00536C22">
        <w:rPr>
          <w:bCs/>
          <w:lang w:eastAsia="en-US"/>
        </w:rPr>
        <w:t xml:space="preserve"> процентної ставки, здійснюються депозитарною установою Національного банку за умови отримання від Національного банку</w:t>
      </w:r>
      <w:r w:rsidR="000C0247">
        <w:rPr>
          <w:bCs/>
          <w:lang w:eastAsia="en-US"/>
        </w:rPr>
        <w:t xml:space="preserve"> </w:t>
      </w:r>
      <w:r w:rsidR="00536C22" w:rsidRPr="00536C22">
        <w:rPr>
          <w:bCs/>
          <w:lang w:eastAsia="en-US"/>
        </w:rPr>
        <w:t>повідомлення про згоду депонента та Національного банку щодо перерахування зазначених виплат на окремі рахунки банку в Національному банку, які використовуються під час проведення Національним банком операцій за стандартними інструментами регулювання ліквідності банківської системи;</w:t>
      </w:r>
    </w:p>
    <w:p w14:paraId="06B09716" w14:textId="77777777" w:rsidR="0052455F" w:rsidRDefault="0052455F" w:rsidP="00536C22">
      <w:pPr>
        <w:pStyle w:val="af3"/>
        <w:ind w:left="0" w:firstLine="567"/>
        <w:rPr>
          <w:bCs/>
          <w:lang w:eastAsia="en-US"/>
        </w:rPr>
      </w:pPr>
    </w:p>
    <w:p w14:paraId="2E75FFFB" w14:textId="016C1831" w:rsidR="00536C22" w:rsidRPr="00536C22" w:rsidRDefault="00E230CD" w:rsidP="00536C22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2) </w:t>
      </w:r>
      <w:r w:rsidR="00536C22" w:rsidRPr="00536C22">
        <w:rPr>
          <w:bCs/>
          <w:lang w:eastAsia="en-US"/>
        </w:rPr>
        <w:t>безумовні депозитарні операції з цінними паперами (включаючи звернення стягнення на цінні папери, що є предметом застави), які заблоковані на користь Національного банку та проводяться депозитарною установою Національного банку з метою забезпечення виконання зобов’язань її депонентів перед Національним банком відповідно</w:t>
      </w:r>
      <w:r w:rsidR="003B0F64">
        <w:rPr>
          <w:bCs/>
          <w:lang w:eastAsia="en-US"/>
        </w:rPr>
        <w:t xml:space="preserve"> до</w:t>
      </w:r>
      <w:r w:rsidR="000C0247">
        <w:rPr>
          <w:bCs/>
          <w:lang w:eastAsia="en-US"/>
        </w:rPr>
        <w:t xml:space="preserve"> </w:t>
      </w:r>
      <w:r w:rsidR="003B0F64" w:rsidRPr="000C0247">
        <w:rPr>
          <w:bCs/>
          <w:lang w:eastAsia="en-US"/>
        </w:rPr>
        <w:t xml:space="preserve">вимог Положення № 615, Положення № </w:t>
      </w:r>
      <w:r w:rsidR="002720AB">
        <w:rPr>
          <w:bCs/>
          <w:lang w:eastAsia="en-US"/>
        </w:rPr>
        <w:t>411</w:t>
      </w:r>
      <w:r w:rsidR="003B0F64" w:rsidRPr="000C0247">
        <w:rPr>
          <w:bCs/>
          <w:lang w:eastAsia="en-US"/>
        </w:rPr>
        <w:t xml:space="preserve">, Положення № 67 та Положення № </w:t>
      </w:r>
      <w:r w:rsidR="002720AB">
        <w:rPr>
          <w:bCs/>
          <w:lang w:eastAsia="en-US"/>
        </w:rPr>
        <w:t>95</w:t>
      </w:r>
      <w:r w:rsidR="00536C22" w:rsidRPr="00536C22">
        <w:rPr>
          <w:bCs/>
          <w:lang w:eastAsia="en-US"/>
        </w:rPr>
        <w:t>;</w:t>
      </w:r>
    </w:p>
    <w:p w14:paraId="65E97E8C" w14:textId="77777777" w:rsidR="008D7A4C" w:rsidRDefault="008D7A4C" w:rsidP="00536C22">
      <w:pPr>
        <w:pStyle w:val="af3"/>
        <w:ind w:left="0" w:firstLine="567"/>
        <w:rPr>
          <w:bCs/>
          <w:lang w:eastAsia="en-US"/>
        </w:rPr>
      </w:pPr>
    </w:p>
    <w:p w14:paraId="7FEA1094" w14:textId="162A09F6" w:rsidR="00536C22" w:rsidRPr="00536C22" w:rsidRDefault="00E230CD" w:rsidP="00536C22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3) </w:t>
      </w:r>
      <w:r w:rsidR="00536C22" w:rsidRPr="00536C22">
        <w:rPr>
          <w:bCs/>
          <w:lang w:eastAsia="en-US"/>
        </w:rPr>
        <w:t>депозитарні операції блокування цінних паперів/прав на цінні папери (та пов’язані з ними депозитарні операції) за наслідком застави на користь Національного банку на рахунках у цінних паперах депонентів</w:t>
      </w:r>
      <w:r w:rsidR="003B0F64">
        <w:rPr>
          <w:bCs/>
          <w:lang w:eastAsia="en-US"/>
        </w:rPr>
        <w:t>, які</w:t>
      </w:r>
      <w:r w:rsidR="000C0247">
        <w:rPr>
          <w:bCs/>
          <w:lang w:eastAsia="en-US"/>
        </w:rPr>
        <w:t xml:space="preserve"> </w:t>
      </w:r>
      <w:r w:rsidR="003B0F64">
        <w:rPr>
          <w:bCs/>
          <w:lang w:eastAsia="en-US"/>
        </w:rPr>
        <w:t>з</w:t>
      </w:r>
      <w:r w:rsidR="00536C22" w:rsidRPr="00536C22">
        <w:rPr>
          <w:bCs/>
          <w:lang w:eastAsia="en-US"/>
        </w:rPr>
        <w:t xml:space="preserve">дійснюються депозитарною установою Національного банку за умови отримання від Національного банку повідомлення з інформацією, що депозитарні операції здійснюються на виконання  вимоги (повідомлення) Національного банку до </w:t>
      </w:r>
      <w:r w:rsidR="00536C22" w:rsidRPr="00536C22">
        <w:rPr>
          <w:bCs/>
          <w:lang w:eastAsia="en-US"/>
        </w:rPr>
        <w:lastRenderedPageBreak/>
        <w:t xml:space="preserve">депонента щодо включення додаткових активів/майна для забезпечення зобов’язань перед Національним банком, у випадках, передбачених </w:t>
      </w:r>
      <w:r w:rsidR="000C0247" w:rsidRPr="000C0247">
        <w:rPr>
          <w:bCs/>
          <w:lang w:eastAsia="en-US"/>
        </w:rPr>
        <w:t xml:space="preserve">Положенням № 615, Положення № </w:t>
      </w:r>
      <w:r w:rsidR="002720AB">
        <w:rPr>
          <w:bCs/>
          <w:lang w:eastAsia="en-US"/>
        </w:rPr>
        <w:t>411</w:t>
      </w:r>
      <w:r w:rsidR="000C0247" w:rsidRPr="000C0247">
        <w:rPr>
          <w:bCs/>
          <w:lang w:eastAsia="en-US"/>
        </w:rPr>
        <w:t xml:space="preserve">, Положення № 67 та Положення № </w:t>
      </w:r>
      <w:r w:rsidR="002720AB">
        <w:rPr>
          <w:bCs/>
          <w:lang w:eastAsia="en-US"/>
        </w:rPr>
        <w:t>95</w:t>
      </w:r>
      <w:r w:rsidR="00536C22" w:rsidRPr="00536C22">
        <w:rPr>
          <w:bCs/>
          <w:lang w:eastAsia="en-US"/>
        </w:rPr>
        <w:t>;</w:t>
      </w:r>
    </w:p>
    <w:p w14:paraId="70C6B5F1" w14:textId="77777777" w:rsidR="00101831" w:rsidRDefault="00101831" w:rsidP="00E230CD">
      <w:pPr>
        <w:pStyle w:val="af3"/>
        <w:ind w:left="0" w:firstLine="567"/>
        <w:rPr>
          <w:bCs/>
          <w:lang w:eastAsia="en-US"/>
        </w:rPr>
      </w:pPr>
    </w:p>
    <w:p w14:paraId="518AFA25" w14:textId="6525A8B9" w:rsidR="009D033A" w:rsidRPr="00682759" w:rsidRDefault="00E230CD" w:rsidP="00E230CD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4) </w:t>
      </w:r>
      <w:r w:rsidR="009D033A" w:rsidRPr="00682759">
        <w:rPr>
          <w:bCs/>
          <w:lang w:eastAsia="en-US"/>
        </w:rPr>
        <w:t>депозитарні операції списання цінних паперів при їх погашенні;</w:t>
      </w:r>
    </w:p>
    <w:p w14:paraId="3B6F43B9" w14:textId="77777777" w:rsidR="00101831" w:rsidRDefault="00101831" w:rsidP="00536C22">
      <w:pPr>
        <w:pStyle w:val="af3"/>
        <w:ind w:left="0" w:firstLine="567"/>
        <w:rPr>
          <w:bCs/>
          <w:lang w:eastAsia="en-US"/>
        </w:rPr>
      </w:pPr>
    </w:p>
    <w:p w14:paraId="5BAB4B5C" w14:textId="6DED15EE" w:rsidR="00536C22" w:rsidRPr="00536C22" w:rsidRDefault="009D033A" w:rsidP="00536C22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 xml:space="preserve">5) </w:t>
      </w:r>
      <w:r w:rsidR="00536C22" w:rsidRPr="00536C22">
        <w:rPr>
          <w:bCs/>
          <w:lang w:eastAsia="en-US"/>
        </w:rPr>
        <w:t>адміністративні операції з внесення змін до анкети рахунку в цінних паперах/анкети керуючого рахунком в цінних паперах (окрім зміни реквізитів поточного рахунку депонента в Національному банку, які відкритий для зарахування грошових коштів у національній та/або іноземній валюті з виплати доходів та/або погашення за цінними паперами, що є предметом застави на користь Національного банку) та закриття рахунку в цінних паперах;</w:t>
      </w:r>
    </w:p>
    <w:p w14:paraId="061CD901" w14:textId="77777777" w:rsidR="006449EA" w:rsidRDefault="006449EA" w:rsidP="00E230CD">
      <w:pPr>
        <w:pStyle w:val="af3"/>
        <w:ind w:left="0" w:firstLine="567"/>
        <w:rPr>
          <w:bCs/>
          <w:lang w:eastAsia="en-US"/>
        </w:rPr>
      </w:pPr>
    </w:p>
    <w:p w14:paraId="5576F42B" w14:textId="696C16B3" w:rsidR="00B05B93" w:rsidRPr="00682759" w:rsidRDefault="009D033A" w:rsidP="00E230CD">
      <w:pPr>
        <w:pStyle w:val="af3"/>
        <w:ind w:left="0" w:firstLine="567"/>
        <w:rPr>
          <w:bCs/>
          <w:lang w:eastAsia="en-US"/>
        </w:rPr>
      </w:pPr>
      <w:r w:rsidRPr="00682759">
        <w:rPr>
          <w:bCs/>
          <w:lang w:eastAsia="en-US"/>
        </w:rPr>
        <w:t>6</w:t>
      </w:r>
      <w:r w:rsidR="00E230CD" w:rsidRPr="00682759">
        <w:rPr>
          <w:bCs/>
          <w:lang w:eastAsia="en-US"/>
        </w:rPr>
        <w:t>) інформаційні операції з підготовки та видачі виписок або довідок з рахунку в цінних паперах.</w:t>
      </w:r>
      <w:r w:rsidR="00DE2122" w:rsidRPr="00682759">
        <w:rPr>
          <w:bCs/>
          <w:lang w:eastAsia="en-US"/>
        </w:rPr>
        <w:t>”</w:t>
      </w:r>
      <w:r w:rsidR="006449EA">
        <w:rPr>
          <w:bCs/>
          <w:lang w:eastAsia="en-US"/>
        </w:rPr>
        <w:t>.</w:t>
      </w:r>
    </w:p>
    <w:p w14:paraId="4F81F71A" w14:textId="77777777" w:rsidR="009D033A" w:rsidRPr="00682759" w:rsidRDefault="009D033A" w:rsidP="00E230CD">
      <w:pPr>
        <w:pStyle w:val="af3"/>
        <w:ind w:left="0" w:firstLine="567"/>
      </w:pPr>
    </w:p>
    <w:p w14:paraId="47F18659" w14:textId="77777777" w:rsidR="00030464" w:rsidRDefault="008766C1" w:rsidP="00DE2122">
      <w:pPr>
        <w:pStyle w:val="af3"/>
        <w:ind w:left="0" w:firstLine="567"/>
        <w:rPr>
          <w:bCs/>
          <w:lang w:eastAsia="en-US"/>
        </w:rPr>
      </w:pPr>
      <w:r>
        <w:t>3</w:t>
      </w:r>
      <w:r w:rsidR="009D033A" w:rsidRPr="00682759">
        <w:t xml:space="preserve">. </w:t>
      </w:r>
      <w:r w:rsidR="00030464">
        <w:t xml:space="preserve">У розділі </w:t>
      </w:r>
      <w:r w:rsidR="00030464" w:rsidRPr="00682759">
        <w:rPr>
          <w:bCs/>
          <w:lang w:val="en-US" w:eastAsia="en-US"/>
        </w:rPr>
        <w:t>V</w:t>
      </w:r>
      <w:r w:rsidR="00030464">
        <w:rPr>
          <w:bCs/>
          <w:lang w:eastAsia="en-US"/>
        </w:rPr>
        <w:t>:</w:t>
      </w:r>
    </w:p>
    <w:p w14:paraId="4AF3EF86" w14:textId="77777777" w:rsidR="0089430F" w:rsidRDefault="0089430F" w:rsidP="00DE2122">
      <w:pPr>
        <w:pStyle w:val="af3"/>
        <w:ind w:left="0" w:firstLine="567"/>
      </w:pPr>
    </w:p>
    <w:p w14:paraId="17BBDF5F" w14:textId="22D9D8D7" w:rsidR="0069286A" w:rsidRDefault="00030464" w:rsidP="00DE2122">
      <w:pPr>
        <w:pStyle w:val="af3"/>
        <w:ind w:left="0" w:firstLine="567"/>
      </w:pPr>
      <w:r>
        <w:t>1)</w:t>
      </w:r>
      <w:r w:rsidR="0069286A">
        <w:t xml:space="preserve"> </w:t>
      </w:r>
      <w:r w:rsidR="00AE5D92">
        <w:t xml:space="preserve">у </w:t>
      </w:r>
      <w:r w:rsidR="0069286A">
        <w:t>пункт</w:t>
      </w:r>
      <w:r w:rsidR="00C00CD1">
        <w:t>і</w:t>
      </w:r>
      <w:r w:rsidR="0069286A">
        <w:t xml:space="preserve"> 59:</w:t>
      </w:r>
    </w:p>
    <w:p w14:paraId="7DCBECB5" w14:textId="29268AA1" w:rsidR="00C00CD1" w:rsidRDefault="00C00CD1" w:rsidP="001141A7">
      <w:pPr>
        <w:pStyle w:val="af3"/>
        <w:ind w:left="0" w:firstLine="567"/>
      </w:pPr>
      <w:r>
        <w:t xml:space="preserve">у другому реченні </w:t>
      </w:r>
      <w:r w:rsidR="009A568C">
        <w:t>абзац</w:t>
      </w:r>
      <w:r>
        <w:t>у</w:t>
      </w:r>
      <w:r w:rsidR="009A568C">
        <w:t xml:space="preserve"> першо</w:t>
      </w:r>
      <w:r>
        <w:t>го:</w:t>
      </w:r>
    </w:p>
    <w:p w14:paraId="1D750D97" w14:textId="10ABED70" w:rsidR="00030464" w:rsidRDefault="00C00CD1" w:rsidP="001141A7">
      <w:pPr>
        <w:pStyle w:val="af3"/>
        <w:ind w:left="0" w:firstLine="567"/>
      </w:pPr>
      <w:r>
        <w:t xml:space="preserve">речення </w:t>
      </w:r>
      <w:r w:rsidR="0069286A">
        <w:t>після слова “мову” доповнити словами</w:t>
      </w:r>
      <w:r w:rsidR="000E3FDB">
        <w:t xml:space="preserve"> та цифрами</w:t>
      </w:r>
      <w:r w:rsidR="0069286A">
        <w:t xml:space="preserve"> “</w:t>
      </w:r>
      <w:r w:rsidR="0069286A" w:rsidRPr="00AE5D92">
        <w:t>(крім документів, складених англійською мовою у випадках, передбачених абзацом третім пункту</w:t>
      </w:r>
      <w:r w:rsidR="002C66DF">
        <w:t xml:space="preserve"> 59 </w:t>
      </w:r>
      <w:r>
        <w:t>розділу</w:t>
      </w:r>
      <w:r w:rsidR="002C66DF" w:rsidRPr="002C66DF">
        <w:rPr>
          <w:bCs/>
          <w:lang w:val="ru-RU" w:eastAsia="en-US"/>
        </w:rPr>
        <w:t xml:space="preserve"> </w:t>
      </w:r>
      <w:r w:rsidR="002C66DF" w:rsidRPr="00682759">
        <w:rPr>
          <w:bCs/>
          <w:lang w:val="en-US" w:eastAsia="en-US"/>
        </w:rPr>
        <w:t>V</w:t>
      </w:r>
      <w:r w:rsidR="002C66DF">
        <w:t xml:space="preserve"> </w:t>
      </w:r>
      <w:r>
        <w:t>цього Положення</w:t>
      </w:r>
      <w:r w:rsidR="0069286A" w:rsidRPr="00AE5D92">
        <w:t>)</w:t>
      </w:r>
      <w:r w:rsidR="0069286A">
        <w:t>”;</w:t>
      </w:r>
    </w:p>
    <w:p w14:paraId="2E9717AC" w14:textId="66DE505A" w:rsidR="0069286A" w:rsidRDefault="00CA5786" w:rsidP="00DE2122">
      <w:pPr>
        <w:pStyle w:val="af3"/>
        <w:ind w:left="0" w:firstLine="567"/>
      </w:pPr>
      <w:r>
        <w:t>сл</w:t>
      </w:r>
      <w:r w:rsidR="00C00CD1">
        <w:t>ова</w:t>
      </w:r>
      <w:r>
        <w:t xml:space="preserve"> “законодавством</w:t>
      </w:r>
      <w:r w:rsidR="00C00CD1">
        <w:t xml:space="preserve"> України</w:t>
      </w:r>
      <w:r>
        <w:t xml:space="preserve">” </w:t>
      </w:r>
      <w:r w:rsidR="00C00CD1">
        <w:t xml:space="preserve">замінити </w:t>
      </w:r>
      <w:r>
        <w:t>слово</w:t>
      </w:r>
      <w:r w:rsidR="00C00CD1">
        <w:t>м</w:t>
      </w:r>
      <w:r>
        <w:t xml:space="preserve"> “</w:t>
      </w:r>
      <w:r w:rsidR="00C00CD1">
        <w:t>законодавством</w:t>
      </w:r>
      <w:r>
        <w:t>”</w:t>
      </w:r>
      <w:r w:rsidR="009A568C">
        <w:t>;</w:t>
      </w:r>
    </w:p>
    <w:p w14:paraId="7573F5B3" w14:textId="62E28D91" w:rsidR="009A568C" w:rsidRPr="009A568C" w:rsidRDefault="001141A7" w:rsidP="00DE2122">
      <w:pPr>
        <w:pStyle w:val="af3"/>
        <w:ind w:left="0" w:firstLine="567"/>
      </w:pPr>
      <w:r>
        <w:t xml:space="preserve">пункт </w:t>
      </w:r>
      <w:r w:rsidR="009A568C">
        <w:t>доповнити новим абзацом такого змісту:</w:t>
      </w:r>
    </w:p>
    <w:p w14:paraId="7CA5DA85" w14:textId="50591C7D" w:rsidR="009A568C" w:rsidRDefault="009A568C" w:rsidP="00DE2122">
      <w:pPr>
        <w:pStyle w:val="af3"/>
        <w:ind w:left="0" w:firstLine="567"/>
      </w:pPr>
      <w:r>
        <w:t>“</w:t>
      </w:r>
      <w:r w:rsidRPr="001141A7">
        <w:t>Офіційні та неофіційні документи, що подаються до депозитарної установи Національного банку, які були видані чи оформлені на території іноземної держави, складені англійською мовою, не потребують обов’язкового перекладу на українську мову</w:t>
      </w:r>
      <w:r w:rsidR="002945E9">
        <w:t>.</w:t>
      </w:r>
      <w:r>
        <w:t>”</w:t>
      </w:r>
      <w:r w:rsidR="001141A7">
        <w:t>;</w:t>
      </w:r>
    </w:p>
    <w:p w14:paraId="01BD2252" w14:textId="77777777" w:rsidR="00CA691A" w:rsidRPr="00030464" w:rsidRDefault="00CA691A" w:rsidP="00DE2122">
      <w:pPr>
        <w:pStyle w:val="af3"/>
        <w:ind w:left="0" w:firstLine="567"/>
      </w:pPr>
    </w:p>
    <w:p w14:paraId="4FDA5CF5" w14:textId="65F0CAC7" w:rsidR="00DE2122" w:rsidRPr="00CA691A" w:rsidRDefault="00030464" w:rsidP="00DE2122">
      <w:pPr>
        <w:pStyle w:val="af3"/>
        <w:ind w:left="0" w:firstLine="567"/>
      </w:pPr>
      <w:r w:rsidRPr="00CA691A">
        <w:t>2)</w:t>
      </w:r>
      <w:r w:rsidR="002945E9">
        <w:t xml:space="preserve"> </w:t>
      </w:r>
      <w:r w:rsidRPr="00CA691A">
        <w:t xml:space="preserve">пункт </w:t>
      </w:r>
      <w:r w:rsidR="008A4F9B" w:rsidRPr="00CA691A">
        <w:t xml:space="preserve">63 </w:t>
      </w:r>
      <w:r w:rsidR="00F05F7A" w:rsidRPr="00CA691A">
        <w:t xml:space="preserve">викласти в </w:t>
      </w:r>
      <w:r w:rsidR="009D033A" w:rsidRPr="00CA691A">
        <w:t>так</w:t>
      </w:r>
      <w:r w:rsidR="00F05F7A" w:rsidRPr="00CA691A">
        <w:t>ій редакції</w:t>
      </w:r>
      <w:r w:rsidR="00DA3322" w:rsidRPr="00CA691A">
        <w:t>:</w:t>
      </w:r>
    </w:p>
    <w:p w14:paraId="072D138D" w14:textId="7612F3D9" w:rsidR="00DA3322" w:rsidRPr="00682759" w:rsidRDefault="00DA3322" w:rsidP="00DA3322">
      <w:pPr>
        <w:ind w:firstLine="567"/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>“</w:t>
      </w:r>
      <w:r w:rsidR="009D033A" w:rsidRPr="00682759">
        <w:rPr>
          <w:color w:val="000000" w:themeColor="text1"/>
          <w:lang w:eastAsia="ru-RU"/>
        </w:rPr>
        <w:t xml:space="preserve">63. Депонент / керуючий рахунком у цінних паперах, при подачі документів для відкриття рахунку в цінних паперах в електронній формі, </w:t>
      </w:r>
      <w:r w:rsidR="00BC5DAB">
        <w:rPr>
          <w:color w:val="000000" w:themeColor="text1"/>
          <w:lang w:eastAsia="ru-RU"/>
        </w:rPr>
        <w:t>забезпечує підписання</w:t>
      </w:r>
      <w:r w:rsidR="009D033A" w:rsidRPr="00682759">
        <w:rPr>
          <w:color w:val="000000" w:themeColor="text1"/>
          <w:lang w:eastAsia="ru-RU"/>
        </w:rPr>
        <w:t xml:space="preserve"> анкет</w:t>
      </w:r>
      <w:r w:rsidR="00BC5DAB">
        <w:rPr>
          <w:color w:val="000000" w:themeColor="text1"/>
          <w:lang w:eastAsia="ru-RU"/>
        </w:rPr>
        <w:t>и</w:t>
      </w:r>
      <w:r w:rsidR="009D033A" w:rsidRPr="00682759">
        <w:rPr>
          <w:color w:val="000000" w:themeColor="text1"/>
          <w:lang w:eastAsia="ru-RU"/>
        </w:rPr>
        <w:t xml:space="preserve"> рахунку в цінних паперах/анкет</w:t>
      </w:r>
      <w:r w:rsidR="00BC5DAB">
        <w:rPr>
          <w:color w:val="000000" w:themeColor="text1"/>
          <w:lang w:eastAsia="ru-RU"/>
        </w:rPr>
        <w:t>и</w:t>
      </w:r>
      <w:r w:rsidR="009D033A" w:rsidRPr="00682759">
        <w:rPr>
          <w:color w:val="000000" w:themeColor="text1"/>
          <w:lang w:eastAsia="ru-RU"/>
        </w:rPr>
        <w:t xml:space="preserve"> керуючого рахунком у цінних паперах шляхом послідовного накладення КЕП розпорядників рахунку в цінних паперах, які в ній зазначені, та засвідчує КЕП керівника цієї юридичної особи</w:t>
      </w:r>
      <w:r w:rsidR="00F05F7A" w:rsidRPr="00682759">
        <w:rPr>
          <w:color w:val="000000" w:themeColor="text1"/>
          <w:lang w:eastAsia="ru-RU"/>
        </w:rPr>
        <w:t>.</w:t>
      </w:r>
      <w:r w:rsidRPr="00682759">
        <w:rPr>
          <w:color w:val="000000" w:themeColor="text1"/>
          <w:lang w:eastAsia="ru-RU"/>
        </w:rPr>
        <w:t>”</w:t>
      </w:r>
      <w:r w:rsidR="002945E9">
        <w:rPr>
          <w:color w:val="000000" w:themeColor="text1"/>
          <w:lang w:eastAsia="ru-RU"/>
        </w:rPr>
        <w:t>.</w:t>
      </w:r>
    </w:p>
    <w:p w14:paraId="6753CBF5" w14:textId="77777777" w:rsidR="008A4F9B" w:rsidRDefault="008A4F9B" w:rsidP="006A05DE">
      <w:pPr>
        <w:pStyle w:val="af3"/>
        <w:ind w:left="0" w:firstLine="567"/>
      </w:pPr>
    </w:p>
    <w:p w14:paraId="14C457A3" w14:textId="77777777" w:rsidR="00211ACA" w:rsidRDefault="00E56D3F" w:rsidP="001E5E80">
      <w:pPr>
        <w:ind w:left="567"/>
      </w:pPr>
      <w:r>
        <w:t xml:space="preserve">4. </w:t>
      </w:r>
      <w:r w:rsidR="006C04F7">
        <w:t>У р</w:t>
      </w:r>
      <w:r w:rsidR="00DA3322" w:rsidRPr="006A05DE">
        <w:t>озділ</w:t>
      </w:r>
      <w:r w:rsidR="003B53F8">
        <w:t>і</w:t>
      </w:r>
      <w:r w:rsidR="00DA3322" w:rsidRPr="006A05DE">
        <w:t xml:space="preserve"> VI</w:t>
      </w:r>
      <w:r w:rsidR="006C04F7">
        <w:t>:</w:t>
      </w:r>
    </w:p>
    <w:p w14:paraId="4B62D5B1" w14:textId="77777777" w:rsidR="006C04F7" w:rsidRPr="006A05DE" w:rsidRDefault="006C04F7" w:rsidP="001E5E80">
      <w:pPr>
        <w:pStyle w:val="af3"/>
        <w:ind w:left="927"/>
      </w:pPr>
    </w:p>
    <w:p w14:paraId="29ACBA19" w14:textId="77777777" w:rsidR="00C06634" w:rsidRDefault="006C04F7" w:rsidP="006C04F7">
      <w:pPr>
        <w:pStyle w:val="af3"/>
        <w:ind w:left="0"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1) </w:t>
      </w:r>
      <w:r w:rsidR="00DA3322" w:rsidRPr="00682759">
        <w:rPr>
          <w:color w:val="000000" w:themeColor="text1"/>
          <w:lang w:eastAsia="ru-RU"/>
        </w:rPr>
        <w:t>в абзаці другому підпункту 4</w:t>
      </w:r>
      <w:r>
        <w:rPr>
          <w:color w:val="000000" w:themeColor="text1"/>
          <w:lang w:eastAsia="ru-RU"/>
        </w:rPr>
        <w:t xml:space="preserve"> пункту 87</w:t>
      </w:r>
      <w:r w:rsidR="00DA3322" w:rsidRPr="00682759">
        <w:rPr>
          <w:color w:val="000000" w:themeColor="text1"/>
          <w:lang w:eastAsia="ru-RU"/>
        </w:rPr>
        <w:t xml:space="preserve"> </w:t>
      </w:r>
      <w:r w:rsidR="00C06634" w:rsidRPr="00682759">
        <w:rPr>
          <w:color w:val="000000" w:themeColor="text1"/>
          <w:lang w:eastAsia="ru-RU"/>
        </w:rPr>
        <w:t>слова “відповідного рішення” замінити словами “відповідної постанови”;</w:t>
      </w:r>
    </w:p>
    <w:p w14:paraId="626C1FE8" w14:textId="77777777" w:rsidR="006C04F7" w:rsidRPr="00682759" w:rsidRDefault="006C04F7" w:rsidP="00C06634">
      <w:pPr>
        <w:pStyle w:val="af3"/>
        <w:ind w:left="0" w:firstLine="567"/>
        <w:rPr>
          <w:color w:val="000000" w:themeColor="text1"/>
          <w:lang w:eastAsia="ru-RU"/>
        </w:rPr>
      </w:pPr>
    </w:p>
    <w:p w14:paraId="6910E46A" w14:textId="77777777" w:rsidR="00C06634" w:rsidRPr="00682759" w:rsidRDefault="006C04F7" w:rsidP="00C06634">
      <w:pPr>
        <w:pStyle w:val="af3"/>
        <w:ind w:left="0" w:firstLine="567"/>
        <w:rPr>
          <w:color w:val="000000" w:themeColor="text1"/>
          <w:lang w:eastAsia="ru-RU"/>
        </w:rPr>
      </w:pPr>
      <w:r>
        <w:lastRenderedPageBreak/>
        <w:t>2) розділ</w:t>
      </w:r>
      <w:r w:rsidR="00C85AE1" w:rsidRPr="00682759">
        <w:t xml:space="preserve"> після пункту 8</w:t>
      </w:r>
      <w:r w:rsidR="00AB7BD0" w:rsidRPr="00682759">
        <w:t>7</w:t>
      </w:r>
      <w:r w:rsidR="00C85AE1" w:rsidRPr="00682759">
        <w:t xml:space="preserve"> доповнити новим</w:t>
      </w:r>
      <w:r w:rsidR="00AB7BD0" w:rsidRPr="00682759">
        <w:t xml:space="preserve"> </w:t>
      </w:r>
      <w:r w:rsidR="00C85AE1" w:rsidRPr="00682759">
        <w:t>пункт</w:t>
      </w:r>
      <w:r w:rsidR="00AB7BD0" w:rsidRPr="00682759">
        <w:t>ом</w:t>
      </w:r>
      <w:r w:rsidR="00C85AE1" w:rsidRPr="00682759">
        <w:t xml:space="preserve"> </w:t>
      </w:r>
      <w:r w:rsidR="00C06634" w:rsidRPr="00682759">
        <w:rPr>
          <w:bCs/>
          <w:lang w:eastAsia="en-US"/>
        </w:rPr>
        <w:t>87</w:t>
      </w:r>
      <w:r w:rsidR="00C06634" w:rsidRPr="00682759">
        <w:rPr>
          <w:bCs/>
          <w:vertAlign w:val="superscript"/>
          <w:lang w:eastAsia="en-US"/>
        </w:rPr>
        <w:t>1</w:t>
      </w:r>
      <w:r w:rsidR="00C06634" w:rsidRPr="00682759">
        <w:rPr>
          <w:rFonts w:eastAsiaTheme="minorEastAsia"/>
          <w:noProof/>
          <w:color w:val="000000" w:themeColor="text1"/>
          <w:lang w:eastAsia="en-US"/>
        </w:rPr>
        <w:t xml:space="preserve"> такого змісту:</w:t>
      </w:r>
    </w:p>
    <w:p w14:paraId="4817AE3E" w14:textId="1F1DFBA9" w:rsidR="00AB7BD0" w:rsidRPr="00682759" w:rsidRDefault="00C06634" w:rsidP="00AB7BD0">
      <w:pPr>
        <w:pStyle w:val="af3"/>
        <w:ind w:left="0" w:firstLine="567"/>
      </w:pPr>
      <w:r w:rsidRPr="00682759">
        <w:t>“</w:t>
      </w:r>
      <w:r w:rsidR="00AB7BD0" w:rsidRPr="00682759">
        <w:rPr>
          <w:bCs/>
          <w:lang w:eastAsia="en-US"/>
        </w:rPr>
        <w:t>87</w:t>
      </w:r>
      <w:r w:rsidR="00AB7BD0" w:rsidRPr="00682759">
        <w:rPr>
          <w:bCs/>
          <w:vertAlign w:val="superscript"/>
          <w:lang w:eastAsia="en-US"/>
        </w:rPr>
        <w:t>1</w:t>
      </w:r>
      <w:r w:rsidR="00AB7BD0" w:rsidRPr="00682759">
        <w:t xml:space="preserve">. Депозитарна установа Національного банку здійснює обслуговування облікових операцій щодо примусового відчуження або вилучення акцій відповідно до Закону України </w:t>
      </w:r>
      <w:r w:rsidR="00F278DC" w:rsidRPr="000C0247">
        <w:rPr>
          <w:lang w:val="ru-RU"/>
        </w:rPr>
        <w:t>“</w:t>
      </w:r>
      <w:r w:rsidR="00AB7BD0" w:rsidRPr="00682759">
        <w:t>Про передачу, примусове відчуження або вилучення майна в умовах правового режиму воєнного чи надзвичайного стану</w:t>
      </w:r>
      <w:r w:rsidR="00F278DC" w:rsidRPr="000C0247">
        <w:rPr>
          <w:lang w:val="ru-RU"/>
        </w:rPr>
        <w:t>”</w:t>
      </w:r>
      <w:r w:rsidR="00AB7BD0" w:rsidRPr="00682759">
        <w:t xml:space="preserve"> на підставі:</w:t>
      </w:r>
    </w:p>
    <w:p w14:paraId="17F872D7" w14:textId="77777777" w:rsidR="00F278DC" w:rsidRDefault="00F278DC" w:rsidP="00AB7BD0">
      <w:pPr>
        <w:pStyle w:val="af3"/>
        <w:ind w:left="0" w:firstLine="567"/>
      </w:pPr>
    </w:p>
    <w:p w14:paraId="4F846467" w14:textId="0F9D1342" w:rsidR="00AB7BD0" w:rsidRPr="00682759" w:rsidRDefault="00AB7BD0" w:rsidP="00AB7BD0">
      <w:pPr>
        <w:pStyle w:val="af3"/>
        <w:ind w:left="0" w:firstLine="567"/>
      </w:pPr>
      <w:r w:rsidRPr="00682759">
        <w:t xml:space="preserve">1) розпорядження отриманого від Міністерства оборони України як керуючого рахунком у цінних паперах держави, до якого додається копія </w:t>
      </w:r>
      <w:proofErr w:type="spellStart"/>
      <w:r w:rsidRPr="00682759">
        <w:t>акта</w:t>
      </w:r>
      <w:proofErr w:type="spellEnd"/>
      <w:r w:rsidRPr="00682759">
        <w:t xml:space="preserve"> про примусове відчуження або вилучення майна, та розпорядження Центрального депозитарію в разі зарахування акцій на рахунок в цінних паперах депонента;</w:t>
      </w:r>
    </w:p>
    <w:p w14:paraId="017B513C" w14:textId="77777777" w:rsidR="00F278DC" w:rsidRDefault="00F278DC" w:rsidP="00C06634">
      <w:pPr>
        <w:pStyle w:val="af3"/>
        <w:ind w:left="0" w:firstLine="567"/>
        <w:contextualSpacing w:val="0"/>
        <w:rPr>
          <w:color w:val="000000" w:themeColor="text1"/>
          <w:lang w:eastAsia="ru-RU"/>
        </w:rPr>
      </w:pPr>
    </w:p>
    <w:p w14:paraId="250CA221" w14:textId="5C4C3BA3" w:rsidR="00C06634" w:rsidRPr="00682759" w:rsidRDefault="00C06634" w:rsidP="00C06634">
      <w:pPr>
        <w:pStyle w:val="af3"/>
        <w:ind w:left="0" w:firstLine="567"/>
        <w:contextualSpacing w:val="0"/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>2) розпорядження отриманого від Центрального депозитарію в разі списання акцій з рахунку в цінних паперах депонента.</w:t>
      </w:r>
      <w:r w:rsidR="006A5241" w:rsidRPr="00682759">
        <w:rPr>
          <w:color w:val="000000" w:themeColor="text1"/>
          <w:lang w:eastAsia="ru-RU"/>
        </w:rPr>
        <w:t>”</w:t>
      </w:r>
      <w:r w:rsidR="00320C1F">
        <w:rPr>
          <w:color w:val="000000" w:themeColor="text1"/>
          <w:lang w:eastAsia="ru-RU"/>
        </w:rPr>
        <w:t>.</w:t>
      </w:r>
    </w:p>
    <w:p w14:paraId="70B4963D" w14:textId="77777777" w:rsidR="00C06634" w:rsidRPr="00682759" w:rsidRDefault="00C06634" w:rsidP="00211ACA">
      <w:pPr>
        <w:pStyle w:val="af3"/>
        <w:ind w:left="0" w:firstLine="709"/>
        <w:rPr>
          <w:color w:val="000000" w:themeColor="text1"/>
          <w:lang w:eastAsia="ru-RU"/>
        </w:rPr>
      </w:pPr>
    </w:p>
    <w:p w14:paraId="5AF4A296" w14:textId="77777777" w:rsidR="00C06634" w:rsidRPr="00682759" w:rsidRDefault="00E15FAD" w:rsidP="00C06634">
      <w:pPr>
        <w:pStyle w:val="af3"/>
        <w:ind w:left="0" w:firstLine="567"/>
        <w:rPr>
          <w:color w:val="000000" w:themeColor="text1"/>
          <w:lang w:eastAsia="ru-RU"/>
        </w:rPr>
      </w:pPr>
      <w:r>
        <w:t>5</w:t>
      </w:r>
      <w:r w:rsidR="00484DEF" w:rsidRPr="00682759">
        <w:t xml:space="preserve">. </w:t>
      </w:r>
      <w:r w:rsidR="006C04F7">
        <w:t>Р</w:t>
      </w:r>
      <w:r w:rsidR="00484DEF" w:rsidRPr="00682759">
        <w:rPr>
          <w:color w:val="000000" w:themeColor="text1"/>
          <w:lang w:eastAsia="ru-RU"/>
        </w:rPr>
        <w:t xml:space="preserve">озділ </w:t>
      </w:r>
      <w:r w:rsidR="00C06634" w:rsidRPr="00682759">
        <w:rPr>
          <w:rFonts w:eastAsiaTheme="minorEastAsia"/>
          <w:noProof/>
          <w:color w:val="000000" w:themeColor="text1"/>
          <w:lang w:val="en-US" w:eastAsia="en-US"/>
        </w:rPr>
        <w:t>V</w:t>
      </w:r>
      <w:r w:rsidR="00C06634" w:rsidRPr="00682759">
        <w:rPr>
          <w:rFonts w:eastAsiaTheme="minorEastAsia"/>
          <w:noProof/>
          <w:color w:val="000000" w:themeColor="text1"/>
          <w:lang w:eastAsia="en-US"/>
        </w:rPr>
        <w:t>ІІ</w:t>
      </w:r>
      <w:r w:rsidR="006C04F7">
        <w:rPr>
          <w:rFonts w:eastAsiaTheme="minorEastAsia"/>
          <w:noProof/>
          <w:color w:val="000000" w:themeColor="text1"/>
          <w:lang w:eastAsia="en-US"/>
        </w:rPr>
        <w:t xml:space="preserve"> після пункту 98</w:t>
      </w:r>
      <w:r w:rsidR="00C06634" w:rsidRPr="00682759">
        <w:rPr>
          <w:rFonts w:eastAsiaTheme="minorEastAsia"/>
          <w:noProof/>
          <w:color w:val="000000" w:themeColor="text1"/>
          <w:lang w:eastAsia="en-US"/>
        </w:rPr>
        <w:t xml:space="preserve"> доповнити новим пунктом </w:t>
      </w:r>
      <w:r w:rsidR="00C06634" w:rsidRPr="00682759">
        <w:rPr>
          <w:bCs/>
          <w:lang w:eastAsia="en-US"/>
        </w:rPr>
        <w:t>98</w:t>
      </w:r>
      <w:r w:rsidR="00C06634" w:rsidRPr="00682759">
        <w:rPr>
          <w:bCs/>
          <w:vertAlign w:val="superscript"/>
          <w:lang w:eastAsia="en-US"/>
        </w:rPr>
        <w:t>1</w:t>
      </w:r>
      <w:r w:rsidR="00C06634" w:rsidRPr="00682759">
        <w:rPr>
          <w:rFonts w:eastAsiaTheme="minorEastAsia"/>
          <w:noProof/>
          <w:color w:val="000000" w:themeColor="text1"/>
          <w:lang w:eastAsia="en-US"/>
        </w:rPr>
        <w:t xml:space="preserve"> такого змісту:</w:t>
      </w:r>
    </w:p>
    <w:p w14:paraId="760E3B37" w14:textId="7F172B81" w:rsidR="00C06634" w:rsidRDefault="00C06634" w:rsidP="00F24DA3">
      <w:pPr>
        <w:pStyle w:val="af3"/>
        <w:ind w:left="0" w:firstLine="567"/>
        <w:rPr>
          <w:color w:val="000000" w:themeColor="text1"/>
          <w:lang w:eastAsia="ru-RU"/>
        </w:rPr>
      </w:pPr>
      <w:r w:rsidRPr="00682759">
        <w:rPr>
          <w:color w:val="000000" w:themeColor="text1"/>
          <w:lang w:val="ru-RU" w:eastAsia="ru-RU"/>
        </w:rPr>
        <w:t>“</w:t>
      </w:r>
      <w:r w:rsidRPr="00682759">
        <w:rPr>
          <w:lang w:val="uk" w:eastAsia="uk"/>
        </w:rPr>
        <w:t>98</w:t>
      </w:r>
      <w:r w:rsidRPr="00682759">
        <w:rPr>
          <w:vertAlign w:val="superscript"/>
          <w:lang w:val="uk" w:eastAsia="uk"/>
        </w:rPr>
        <w:t>1</w:t>
      </w:r>
      <w:r w:rsidR="00F24DA3" w:rsidRPr="00682759">
        <w:rPr>
          <w:lang w:val="uk" w:eastAsia="uk"/>
        </w:rPr>
        <w:t xml:space="preserve">. </w:t>
      </w:r>
      <w:r w:rsidRPr="00682759">
        <w:rPr>
          <w:rStyle w:val="spanrvts0"/>
          <w:sz w:val="28"/>
          <w:szCs w:val="28"/>
          <w:lang w:val="uk" w:eastAsia="uk"/>
        </w:rPr>
        <w:t xml:space="preserve">Депонент-заставодержатель додатково до розпорядження на блокування цінних паперів подання якого передбачено пунктом 98 </w:t>
      </w:r>
      <w:r w:rsidR="00723099">
        <w:rPr>
          <w:rStyle w:val="spanrvts0"/>
          <w:sz w:val="28"/>
          <w:szCs w:val="28"/>
          <w:lang w:val="uk" w:eastAsia="uk"/>
        </w:rPr>
        <w:t xml:space="preserve">розділу </w:t>
      </w:r>
      <w:r w:rsidR="002F7306" w:rsidRPr="00682759">
        <w:rPr>
          <w:rFonts w:eastAsiaTheme="minorEastAsia"/>
          <w:noProof/>
          <w:color w:val="000000" w:themeColor="text1"/>
          <w:lang w:val="en-US" w:eastAsia="en-US"/>
        </w:rPr>
        <w:t>V</w:t>
      </w:r>
      <w:r w:rsidR="002F7306" w:rsidRPr="00682759">
        <w:rPr>
          <w:rFonts w:eastAsiaTheme="minorEastAsia"/>
          <w:noProof/>
          <w:color w:val="000000" w:themeColor="text1"/>
          <w:lang w:eastAsia="en-US"/>
        </w:rPr>
        <w:t>ІІ</w:t>
      </w:r>
      <w:r w:rsidR="002F7306" w:rsidRPr="00682759">
        <w:rPr>
          <w:rStyle w:val="spanrvts0"/>
          <w:sz w:val="28"/>
          <w:szCs w:val="28"/>
          <w:lang w:val="uk" w:eastAsia="uk"/>
        </w:rPr>
        <w:t xml:space="preserve"> </w:t>
      </w:r>
      <w:r w:rsidRPr="00682759">
        <w:rPr>
          <w:rStyle w:val="spanrvts0"/>
          <w:sz w:val="28"/>
          <w:szCs w:val="28"/>
          <w:lang w:val="uk" w:eastAsia="uk"/>
        </w:rPr>
        <w:t xml:space="preserve">цього </w:t>
      </w:r>
      <w:r w:rsidRPr="00682759">
        <w:rPr>
          <w:color w:val="000000" w:themeColor="text1"/>
          <w:lang w:eastAsia="ru-RU"/>
        </w:rPr>
        <w:t>Положення, надає депозитарній установі Національного банку такі документи (якщо вони не були надані раніше):</w:t>
      </w:r>
    </w:p>
    <w:p w14:paraId="621B01E3" w14:textId="77777777" w:rsidR="00320C1F" w:rsidRPr="00682759" w:rsidRDefault="00320C1F" w:rsidP="00F24DA3">
      <w:pPr>
        <w:pStyle w:val="af3"/>
        <w:ind w:left="0" w:firstLine="567"/>
        <w:rPr>
          <w:color w:val="000000" w:themeColor="text1"/>
          <w:lang w:eastAsia="ru-RU"/>
        </w:rPr>
      </w:pPr>
    </w:p>
    <w:p w14:paraId="1B02AE4F" w14:textId="7398D3B9" w:rsidR="00C06634" w:rsidRPr="00682759" w:rsidRDefault="00C06634" w:rsidP="00F24DA3">
      <w:pPr>
        <w:pStyle w:val="af3"/>
        <w:numPr>
          <w:ilvl w:val="0"/>
          <w:numId w:val="32"/>
        </w:numPr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>анкет</w:t>
      </w:r>
      <w:r w:rsidR="00723099">
        <w:rPr>
          <w:color w:val="000000" w:themeColor="text1"/>
          <w:lang w:eastAsia="ru-RU"/>
        </w:rPr>
        <w:t>у</w:t>
      </w:r>
      <w:r w:rsidRPr="00682759">
        <w:rPr>
          <w:color w:val="000000" w:themeColor="text1"/>
          <w:lang w:eastAsia="ru-RU"/>
        </w:rPr>
        <w:t xml:space="preserve"> заставодержателя;</w:t>
      </w:r>
    </w:p>
    <w:p w14:paraId="38C0ADAF" w14:textId="77777777" w:rsidR="00320C1F" w:rsidRDefault="00320C1F" w:rsidP="00F24DA3">
      <w:pPr>
        <w:pStyle w:val="af3"/>
        <w:ind w:left="0" w:firstLine="567"/>
        <w:rPr>
          <w:color w:val="000000" w:themeColor="text1"/>
          <w:lang w:eastAsia="ru-RU"/>
        </w:rPr>
      </w:pPr>
    </w:p>
    <w:p w14:paraId="50E5D3F5" w14:textId="66C56930" w:rsidR="00C06634" w:rsidRPr="00682759" w:rsidRDefault="00F24DA3" w:rsidP="00F24DA3">
      <w:pPr>
        <w:pStyle w:val="af3"/>
        <w:ind w:left="0" w:firstLine="567"/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 xml:space="preserve">2) </w:t>
      </w:r>
      <w:r w:rsidR="00C06634" w:rsidRPr="00682759">
        <w:rPr>
          <w:color w:val="000000" w:themeColor="text1"/>
          <w:lang w:eastAsia="ru-RU"/>
        </w:rPr>
        <w:t>картк</w:t>
      </w:r>
      <w:r w:rsidR="00723099">
        <w:rPr>
          <w:color w:val="000000" w:themeColor="text1"/>
          <w:lang w:eastAsia="ru-RU"/>
        </w:rPr>
        <w:t>у</w:t>
      </w:r>
      <w:r w:rsidR="00C06634" w:rsidRPr="00682759">
        <w:rPr>
          <w:color w:val="000000" w:themeColor="text1"/>
          <w:lang w:eastAsia="ru-RU"/>
        </w:rPr>
        <w:t xml:space="preserve"> зі зразками підписів осіб, уповноважених діяти від імені депонента-заставодержателя, та відбитком печатки</w:t>
      </w:r>
      <w:r w:rsidR="00BC5DAB">
        <w:rPr>
          <w:color w:val="000000" w:themeColor="text1"/>
          <w:lang w:eastAsia="ru-RU"/>
        </w:rPr>
        <w:t xml:space="preserve"> (за наявності)</w:t>
      </w:r>
      <w:r w:rsidR="00C06634" w:rsidRPr="00682759">
        <w:rPr>
          <w:color w:val="000000" w:themeColor="text1"/>
          <w:lang w:eastAsia="ru-RU"/>
        </w:rPr>
        <w:t>, що затверджена керівником або іншою уповноваженою особою депонента-заставодержателя;</w:t>
      </w:r>
    </w:p>
    <w:p w14:paraId="7E38E096" w14:textId="77777777" w:rsidR="00320C1F" w:rsidRDefault="00320C1F" w:rsidP="00F24DA3">
      <w:pPr>
        <w:pStyle w:val="af3"/>
        <w:ind w:left="0" w:firstLine="567"/>
        <w:rPr>
          <w:color w:val="000000" w:themeColor="text1"/>
          <w:lang w:eastAsia="ru-RU"/>
        </w:rPr>
      </w:pPr>
    </w:p>
    <w:p w14:paraId="1C012DE1" w14:textId="300347B9" w:rsidR="00C06634" w:rsidRPr="00682759" w:rsidRDefault="00E230CD" w:rsidP="00F24DA3">
      <w:pPr>
        <w:pStyle w:val="af3"/>
        <w:ind w:left="0" w:firstLine="567"/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 xml:space="preserve">3) </w:t>
      </w:r>
      <w:r w:rsidR="00C06634" w:rsidRPr="00682759">
        <w:rPr>
          <w:color w:val="000000" w:themeColor="text1"/>
          <w:lang w:eastAsia="ru-RU"/>
        </w:rPr>
        <w:t>копії документів, що підтверджують повноваження осіб, які мають право діяти від імені заставодержателя.”</w:t>
      </w:r>
      <w:r w:rsidR="00275A94">
        <w:rPr>
          <w:color w:val="000000" w:themeColor="text1"/>
          <w:lang w:eastAsia="ru-RU"/>
        </w:rPr>
        <w:t>.</w:t>
      </w:r>
    </w:p>
    <w:p w14:paraId="7449DC57" w14:textId="77777777" w:rsidR="00D31F50" w:rsidRPr="00682759" w:rsidRDefault="00D31F50" w:rsidP="00D31F50">
      <w:pPr>
        <w:pStyle w:val="af3"/>
        <w:ind w:left="0" w:firstLine="567"/>
      </w:pPr>
    </w:p>
    <w:p w14:paraId="5096DA02" w14:textId="77777777" w:rsidR="00D31F50" w:rsidRPr="00682759" w:rsidRDefault="00E15FAD" w:rsidP="00D31F50">
      <w:pPr>
        <w:pStyle w:val="af3"/>
        <w:ind w:left="0" w:firstLine="567"/>
        <w:rPr>
          <w:rFonts w:eastAsiaTheme="minorEastAsia"/>
          <w:noProof/>
          <w:color w:val="000000" w:themeColor="text1"/>
          <w:lang w:eastAsia="en-US"/>
        </w:rPr>
      </w:pPr>
      <w:r>
        <w:t>6</w:t>
      </w:r>
      <w:r w:rsidR="00D31F50" w:rsidRPr="00682759">
        <w:t xml:space="preserve">. </w:t>
      </w:r>
      <w:r w:rsidR="003B53F8">
        <w:t>У пункті 108 р</w:t>
      </w:r>
      <w:r w:rsidR="00D31F50" w:rsidRPr="00682759">
        <w:rPr>
          <w:color w:val="000000" w:themeColor="text1"/>
          <w:lang w:eastAsia="ru-RU"/>
        </w:rPr>
        <w:t>озділ</w:t>
      </w:r>
      <w:r w:rsidR="003B53F8">
        <w:rPr>
          <w:color w:val="000000" w:themeColor="text1"/>
          <w:lang w:eastAsia="ru-RU"/>
        </w:rPr>
        <w:t>у</w:t>
      </w:r>
      <w:r w:rsidR="00D31F50" w:rsidRPr="00682759">
        <w:rPr>
          <w:color w:val="000000" w:themeColor="text1"/>
          <w:lang w:eastAsia="ru-RU"/>
        </w:rPr>
        <w:t xml:space="preserve"> VIII</w:t>
      </w:r>
      <w:r w:rsidR="003B53F8">
        <w:rPr>
          <w:color w:val="000000" w:themeColor="text1"/>
          <w:lang w:eastAsia="ru-RU"/>
        </w:rPr>
        <w:t>:</w:t>
      </w:r>
      <w:r w:rsidR="00D31F50" w:rsidRPr="00682759">
        <w:rPr>
          <w:rFonts w:eastAsiaTheme="minorEastAsia"/>
          <w:noProof/>
          <w:color w:val="000000" w:themeColor="text1"/>
          <w:lang w:eastAsia="en-US"/>
        </w:rPr>
        <w:t xml:space="preserve"> </w:t>
      </w:r>
    </w:p>
    <w:p w14:paraId="463667DA" w14:textId="77777777" w:rsidR="00B56C68" w:rsidRPr="00682759" w:rsidRDefault="00B56C68" w:rsidP="00C06634">
      <w:pPr>
        <w:pStyle w:val="af3"/>
        <w:ind w:left="0" w:firstLine="567"/>
        <w:rPr>
          <w:color w:val="000000" w:themeColor="text1"/>
          <w:lang w:eastAsia="ru-RU"/>
        </w:rPr>
      </w:pPr>
    </w:p>
    <w:p w14:paraId="303AE9F7" w14:textId="0681A0B9" w:rsidR="00B56C68" w:rsidRPr="00682759" w:rsidRDefault="00B56C68" w:rsidP="001E5E80">
      <w:pPr>
        <w:pStyle w:val="af3"/>
        <w:numPr>
          <w:ilvl w:val="0"/>
          <w:numId w:val="33"/>
        </w:numPr>
        <w:rPr>
          <w:color w:val="000000" w:themeColor="text1"/>
          <w:lang w:eastAsia="ru-RU"/>
        </w:rPr>
      </w:pPr>
      <w:r w:rsidRPr="00682759">
        <w:rPr>
          <w:color w:val="000000" w:themeColor="text1"/>
          <w:lang w:eastAsia="ru-RU"/>
        </w:rPr>
        <w:t>в абзаці першому слова “</w:t>
      </w:r>
      <w:r w:rsidRPr="00682759">
        <w:rPr>
          <w:lang w:eastAsia="uk"/>
        </w:rPr>
        <w:t>за іменними цінними паперами</w:t>
      </w:r>
      <w:r w:rsidRPr="00682759">
        <w:rPr>
          <w:color w:val="000000" w:themeColor="text1"/>
          <w:lang w:eastAsia="ru-RU"/>
        </w:rPr>
        <w:t>” ви</w:t>
      </w:r>
      <w:r w:rsidR="00F51E3E">
        <w:rPr>
          <w:color w:val="000000" w:themeColor="text1"/>
          <w:lang w:eastAsia="ru-RU"/>
        </w:rPr>
        <w:t>ключити</w:t>
      </w:r>
      <w:r w:rsidRPr="00682759">
        <w:rPr>
          <w:color w:val="000000" w:themeColor="text1"/>
          <w:lang w:eastAsia="ru-RU"/>
        </w:rPr>
        <w:t>;</w:t>
      </w:r>
    </w:p>
    <w:p w14:paraId="19A2EBB1" w14:textId="77777777" w:rsidR="00EA1A83" w:rsidRPr="000C0247" w:rsidRDefault="00EA1A83" w:rsidP="000C0247">
      <w:pPr>
        <w:pStyle w:val="af3"/>
        <w:ind w:left="927"/>
      </w:pPr>
    </w:p>
    <w:p w14:paraId="5F2E856A" w14:textId="38491B84" w:rsidR="00B56C68" w:rsidRPr="00682759" w:rsidRDefault="00F51E3E" w:rsidP="001E5E80">
      <w:pPr>
        <w:pStyle w:val="af3"/>
        <w:numPr>
          <w:ilvl w:val="0"/>
          <w:numId w:val="33"/>
        </w:numPr>
      </w:pPr>
      <w:r>
        <w:rPr>
          <w:color w:val="000000" w:themeColor="text1"/>
          <w:lang w:eastAsia="ru-RU"/>
        </w:rPr>
        <w:t>у підпункті 1</w:t>
      </w:r>
      <w:r w:rsidR="00B56C68" w:rsidRPr="00682759">
        <w:rPr>
          <w:color w:val="000000" w:themeColor="text1"/>
          <w:lang w:eastAsia="ru-RU"/>
        </w:rPr>
        <w:t xml:space="preserve"> слово </w:t>
      </w:r>
      <w:r w:rsidR="00B56C68" w:rsidRPr="00682759">
        <w:rPr>
          <w:color w:val="000000" w:themeColor="text1"/>
          <w:lang w:val="ru-RU" w:eastAsia="ru-RU"/>
        </w:rPr>
        <w:t>“</w:t>
      </w:r>
      <w:r w:rsidR="00B56C68" w:rsidRPr="00682759">
        <w:rPr>
          <w:lang w:val="uk" w:eastAsia="uk"/>
        </w:rPr>
        <w:t>іменних</w:t>
      </w:r>
      <w:r w:rsidR="00B56C68" w:rsidRPr="00682759">
        <w:rPr>
          <w:color w:val="000000" w:themeColor="text1"/>
          <w:lang w:val="ru-RU" w:eastAsia="ru-RU"/>
        </w:rPr>
        <w:t>”</w:t>
      </w:r>
      <w:r w:rsidR="00B56C68" w:rsidRPr="00682759">
        <w:rPr>
          <w:color w:val="000000" w:themeColor="text1"/>
          <w:lang w:eastAsia="ru-RU"/>
        </w:rPr>
        <w:t xml:space="preserve"> ви</w:t>
      </w:r>
      <w:r w:rsidR="00533EB0">
        <w:rPr>
          <w:color w:val="000000" w:themeColor="text1"/>
          <w:lang w:eastAsia="ru-RU"/>
        </w:rPr>
        <w:t>ключити</w:t>
      </w:r>
      <w:r w:rsidR="00D31F50" w:rsidRPr="00682759">
        <w:t>.</w:t>
      </w:r>
    </w:p>
    <w:p w14:paraId="16C127CD" w14:textId="77777777" w:rsidR="00444433" w:rsidRPr="00682759" w:rsidRDefault="00444433" w:rsidP="00C06634">
      <w:pPr>
        <w:pStyle w:val="af3"/>
        <w:ind w:left="0" w:firstLine="567"/>
        <w:rPr>
          <w:color w:val="000000" w:themeColor="text1"/>
          <w:lang w:eastAsia="ru-RU"/>
        </w:rPr>
      </w:pPr>
    </w:p>
    <w:p w14:paraId="0B20935B" w14:textId="1E6E608A" w:rsidR="000C0247" w:rsidRDefault="00E15FAD" w:rsidP="006A05DE">
      <w:pPr>
        <w:pStyle w:val="af3"/>
        <w:ind w:left="0" w:firstLine="567"/>
        <w:rPr>
          <w:color w:val="000000" w:themeColor="text1"/>
          <w:lang w:eastAsia="ru-RU"/>
        </w:rPr>
      </w:pPr>
      <w:r>
        <w:t>7</w:t>
      </w:r>
      <w:r w:rsidR="00444433" w:rsidRPr="00682759">
        <w:t xml:space="preserve">. </w:t>
      </w:r>
      <w:r w:rsidR="00FE61BD">
        <w:rPr>
          <w:color w:val="000000" w:themeColor="text1"/>
          <w:lang w:eastAsia="ru-RU"/>
        </w:rPr>
        <w:t>П</w:t>
      </w:r>
      <w:r w:rsidR="008A4F9B" w:rsidRPr="00682759">
        <w:rPr>
          <w:color w:val="000000" w:themeColor="text1"/>
          <w:lang w:eastAsia="ru-RU"/>
        </w:rPr>
        <w:t xml:space="preserve">ункт 113 </w:t>
      </w:r>
      <w:r w:rsidR="008A4F9B">
        <w:t>р</w:t>
      </w:r>
      <w:r w:rsidR="00444433" w:rsidRPr="00682759">
        <w:rPr>
          <w:color w:val="000000" w:themeColor="text1"/>
          <w:lang w:eastAsia="ru-RU"/>
        </w:rPr>
        <w:t>озділ</w:t>
      </w:r>
      <w:r w:rsidR="008A4F9B">
        <w:rPr>
          <w:color w:val="000000" w:themeColor="text1"/>
          <w:lang w:eastAsia="ru-RU"/>
        </w:rPr>
        <w:t>у</w:t>
      </w:r>
      <w:r w:rsidR="00444433" w:rsidRPr="00682759">
        <w:rPr>
          <w:color w:val="000000" w:themeColor="text1"/>
          <w:lang w:eastAsia="ru-RU"/>
        </w:rPr>
        <w:t xml:space="preserve"> </w:t>
      </w:r>
      <w:r w:rsidR="00444433" w:rsidRPr="00682759">
        <w:rPr>
          <w:rStyle w:val="spanrvts15"/>
          <w:b w:val="0"/>
          <w:lang w:val="uk" w:eastAsia="uk"/>
        </w:rPr>
        <w:t>IX</w:t>
      </w:r>
      <w:r w:rsidR="008A4F9B">
        <w:rPr>
          <w:rStyle w:val="spanrvts15"/>
          <w:b w:val="0"/>
          <w:lang w:val="uk" w:eastAsia="uk"/>
        </w:rPr>
        <w:t xml:space="preserve"> </w:t>
      </w:r>
      <w:r w:rsidR="000C0247" w:rsidRPr="00CA691A">
        <w:t>викласти в такій редакції:</w:t>
      </w:r>
    </w:p>
    <w:p w14:paraId="584A0DA7" w14:textId="4ED9E2FA" w:rsidR="00444433" w:rsidRPr="000C0247" w:rsidRDefault="000C0247" w:rsidP="000C0247">
      <w:pPr>
        <w:ind w:firstLine="708"/>
        <w:rPr>
          <w:lang w:eastAsia="ru-RU"/>
        </w:rPr>
      </w:pPr>
      <w:r w:rsidRPr="00682759">
        <w:rPr>
          <w:color w:val="000000" w:themeColor="text1"/>
          <w:lang w:val="ru-RU" w:eastAsia="ru-RU"/>
        </w:rPr>
        <w:t>“</w:t>
      </w:r>
      <w:r>
        <w:rPr>
          <w:lang w:val="uk" w:eastAsia="uk"/>
        </w:rPr>
        <w:t xml:space="preserve">113. Депозитарна установа Національного банку здійснює виплату доходів за цінними паперами у грошових коштах унаслідок погашення цінних паперів та/або виплати доходів за цінними паперами, які заблоковані на користь </w:t>
      </w:r>
      <w:r>
        <w:rPr>
          <w:lang w:val="uk" w:eastAsia="uk"/>
        </w:rPr>
        <w:lastRenderedPageBreak/>
        <w:t xml:space="preserve">Національного банку, своїм депонентам-банкам з урахуванням вимог Положення № 615, </w:t>
      </w:r>
      <w:r w:rsidRPr="000C0247">
        <w:rPr>
          <w:bCs/>
          <w:lang w:val="uk"/>
        </w:rPr>
        <w:t xml:space="preserve">Положення № </w:t>
      </w:r>
      <w:r w:rsidR="002720AB">
        <w:rPr>
          <w:bCs/>
          <w:lang w:val="uk"/>
        </w:rPr>
        <w:t>411</w:t>
      </w:r>
      <w:r w:rsidRPr="000C0247">
        <w:rPr>
          <w:bCs/>
          <w:lang w:val="uk"/>
        </w:rPr>
        <w:t xml:space="preserve">, Положення № 67 та Положення № </w:t>
      </w:r>
      <w:r w:rsidR="002720AB">
        <w:rPr>
          <w:bCs/>
          <w:lang w:val="uk"/>
        </w:rPr>
        <w:t>95</w:t>
      </w:r>
      <w:r w:rsidRPr="000C0247">
        <w:rPr>
          <w:color w:val="000000" w:themeColor="text1"/>
          <w:lang w:eastAsia="ru-RU"/>
        </w:rPr>
        <w:t>.”.</w:t>
      </w:r>
    </w:p>
    <w:sectPr w:rsidR="00444433" w:rsidRPr="000C0247" w:rsidSect="00324D51">
      <w:headerReference w:type="default" r:id="rId23"/>
      <w:headerReference w:type="first" r:id="rId24"/>
      <w:footerReference w:type="first" r:id="rId25"/>
      <w:pgSz w:w="11906" w:h="16838" w:code="9"/>
      <w:pgMar w:top="567" w:right="567" w:bottom="170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88ED" w14:textId="77777777" w:rsidR="00BB06C6" w:rsidRDefault="00BB06C6" w:rsidP="00E53CCD">
      <w:r>
        <w:separator/>
      </w:r>
    </w:p>
  </w:endnote>
  <w:endnote w:type="continuationSeparator" w:id="0">
    <w:p w14:paraId="160C20CA" w14:textId="77777777" w:rsidR="00BB06C6" w:rsidRDefault="00BB06C6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1E37" w14:textId="77777777" w:rsidR="00C03917" w:rsidRPr="005C44F4" w:rsidRDefault="00C03917" w:rsidP="005C44F4">
    <w:pPr>
      <w:pStyle w:val="a7"/>
      <w:jc w:val="right"/>
      <w:rPr>
        <w:color w:val="FFFFFF" w:themeColor="background1"/>
      </w:rPr>
    </w:pPr>
    <w:r w:rsidRPr="005C44F4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BEB5" w14:textId="77777777" w:rsidR="00BB06C6" w:rsidRDefault="00BB06C6" w:rsidP="00E53CCD">
      <w:r>
        <w:separator/>
      </w:r>
    </w:p>
  </w:footnote>
  <w:footnote w:type="continuationSeparator" w:id="0">
    <w:p w14:paraId="159B70B7" w14:textId="77777777" w:rsidR="00BB06C6" w:rsidRDefault="00BB06C6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23DFCFB4" w14:textId="6183B406" w:rsidR="00C03917" w:rsidRDefault="00C039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D56">
          <w:rPr>
            <w:noProof/>
          </w:rPr>
          <w:t>6</w:t>
        </w:r>
        <w:r>
          <w:fldChar w:fldCharType="end"/>
        </w:r>
      </w:p>
    </w:sdtContent>
  </w:sdt>
  <w:p w14:paraId="5C2FF5CF" w14:textId="77777777" w:rsidR="00C03917" w:rsidRDefault="00C039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F8DB" w14:textId="77777777" w:rsidR="00C03917" w:rsidRDefault="00C03917" w:rsidP="00A44D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EA8"/>
    <w:multiLevelType w:val="hybridMultilevel"/>
    <w:tmpl w:val="7EA63058"/>
    <w:lvl w:ilvl="0" w:tplc="D6562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E4410"/>
    <w:multiLevelType w:val="hybridMultilevel"/>
    <w:tmpl w:val="0F325CFC"/>
    <w:lvl w:ilvl="0" w:tplc="BEAAF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911EB"/>
    <w:multiLevelType w:val="hybridMultilevel"/>
    <w:tmpl w:val="1696C7CE"/>
    <w:lvl w:ilvl="0" w:tplc="34C007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1D6C20"/>
    <w:multiLevelType w:val="hybridMultilevel"/>
    <w:tmpl w:val="88B4EE6C"/>
    <w:lvl w:ilvl="0" w:tplc="9B6AC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345EEC"/>
    <w:multiLevelType w:val="hybridMultilevel"/>
    <w:tmpl w:val="CA20AC78"/>
    <w:lvl w:ilvl="0" w:tplc="93ACAC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705C92"/>
    <w:multiLevelType w:val="hybridMultilevel"/>
    <w:tmpl w:val="7F0E9A7C"/>
    <w:lvl w:ilvl="0" w:tplc="F32EED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77188A"/>
    <w:multiLevelType w:val="hybridMultilevel"/>
    <w:tmpl w:val="8F8ECA48"/>
    <w:lvl w:ilvl="0" w:tplc="C82CB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980F83"/>
    <w:multiLevelType w:val="hybridMultilevel"/>
    <w:tmpl w:val="74B0F41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97387C"/>
    <w:multiLevelType w:val="hybridMultilevel"/>
    <w:tmpl w:val="1A408424"/>
    <w:lvl w:ilvl="0" w:tplc="01BABB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704721C"/>
    <w:multiLevelType w:val="hybridMultilevel"/>
    <w:tmpl w:val="9EF2421C"/>
    <w:lvl w:ilvl="0" w:tplc="469C5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24193E"/>
    <w:multiLevelType w:val="hybridMultilevel"/>
    <w:tmpl w:val="1F72E20A"/>
    <w:lvl w:ilvl="0" w:tplc="32CC0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40535D"/>
    <w:multiLevelType w:val="hybridMultilevel"/>
    <w:tmpl w:val="0B08AECA"/>
    <w:lvl w:ilvl="0" w:tplc="3B44F1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A910E5"/>
    <w:multiLevelType w:val="hybridMultilevel"/>
    <w:tmpl w:val="D8303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0120"/>
    <w:multiLevelType w:val="hybridMultilevel"/>
    <w:tmpl w:val="F3989A68"/>
    <w:lvl w:ilvl="0" w:tplc="0658C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AA1039"/>
    <w:multiLevelType w:val="hybridMultilevel"/>
    <w:tmpl w:val="DCEC0A92"/>
    <w:lvl w:ilvl="0" w:tplc="5C64B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B12D38"/>
    <w:multiLevelType w:val="hybridMultilevel"/>
    <w:tmpl w:val="BA026E1A"/>
    <w:lvl w:ilvl="0" w:tplc="E9366A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574FA"/>
    <w:multiLevelType w:val="hybridMultilevel"/>
    <w:tmpl w:val="BE38F87A"/>
    <w:lvl w:ilvl="0" w:tplc="53463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52489"/>
    <w:multiLevelType w:val="hybridMultilevel"/>
    <w:tmpl w:val="842E58CA"/>
    <w:lvl w:ilvl="0" w:tplc="39EA1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3D03EC"/>
    <w:multiLevelType w:val="hybridMultilevel"/>
    <w:tmpl w:val="6AA844B8"/>
    <w:lvl w:ilvl="0" w:tplc="D54C6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6919B2"/>
    <w:multiLevelType w:val="hybridMultilevel"/>
    <w:tmpl w:val="BA9A2FFE"/>
    <w:lvl w:ilvl="0" w:tplc="6E46F240">
      <w:start w:val="1"/>
      <w:numFmt w:val="decimal"/>
      <w:lvlText w:val="%1."/>
      <w:lvlJc w:val="left"/>
      <w:pPr>
        <w:ind w:left="1211" w:hanging="360"/>
      </w:pPr>
      <w:rPr>
        <w:b w:val="0"/>
        <w:strike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DB08C3"/>
    <w:multiLevelType w:val="hybridMultilevel"/>
    <w:tmpl w:val="12989C74"/>
    <w:lvl w:ilvl="0" w:tplc="57EA2D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1B198D"/>
    <w:multiLevelType w:val="hybridMultilevel"/>
    <w:tmpl w:val="DFB4A7F6"/>
    <w:lvl w:ilvl="0" w:tplc="04220011">
      <w:start w:val="1"/>
      <w:numFmt w:val="decimal"/>
      <w:lvlText w:val="%1)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49E36C5"/>
    <w:multiLevelType w:val="hybridMultilevel"/>
    <w:tmpl w:val="4320B3C2"/>
    <w:lvl w:ilvl="0" w:tplc="A7C0129C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DC119F"/>
    <w:multiLevelType w:val="hybridMultilevel"/>
    <w:tmpl w:val="781EBA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897"/>
    <w:multiLevelType w:val="hybridMultilevel"/>
    <w:tmpl w:val="781EBA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86BDD"/>
    <w:multiLevelType w:val="hybridMultilevel"/>
    <w:tmpl w:val="97B229F8"/>
    <w:lvl w:ilvl="0" w:tplc="BEF68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EB6B1A"/>
    <w:multiLevelType w:val="hybridMultilevel"/>
    <w:tmpl w:val="C9542446"/>
    <w:lvl w:ilvl="0" w:tplc="0EAE8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1D320E"/>
    <w:multiLevelType w:val="hybridMultilevel"/>
    <w:tmpl w:val="7F22A07E"/>
    <w:lvl w:ilvl="0" w:tplc="00424E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EE2754"/>
    <w:multiLevelType w:val="hybridMultilevel"/>
    <w:tmpl w:val="81E8091A"/>
    <w:lvl w:ilvl="0" w:tplc="086C8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101029"/>
    <w:multiLevelType w:val="hybridMultilevel"/>
    <w:tmpl w:val="1BAE4204"/>
    <w:lvl w:ilvl="0" w:tplc="B81CB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9C73F2"/>
    <w:multiLevelType w:val="hybridMultilevel"/>
    <w:tmpl w:val="FA94C252"/>
    <w:lvl w:ilvl="0" w:tplc="7B2EF8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3546FA"/>
    <w:multiLevelType w:val="hybridMultilevel"/>
    <w:tmpl w:val="D67C12E0"/>
    <w:lvl w:ilvl="0" w:tplc="7DC0C62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8"/>
  </w:num>
  <w:num w:numId="5">
    <w:abstractNumId w:val="11"/>
  </w:num>
  <w:num w:numId="6">
    <w:abstractNumId w:val="20"/>
  </w:num>
  <w:num w:numId="7">
    <w:abstractNumId w:val="13"/>
  </w:num>
  <w:num w:numId="8">
    <w:abstractNumId w:val="28"/>
  </w:num>
  <w:num w:numId="9">
    <w:abstractNumId w:val="6"/>
  </w:num>
  <w:num w:numId="10">
    <w:abstractNumId w:val="15"/>
  </w:num>
  <w:num w:numId="11">
    <w:abstractNumId w:val="0"/>
  </w:num>
  <w:num w:numId="12">
    <w:abstractNumId w:val="27"/>
  </w:num>
  <w:num w:numId="13">
    <w:abstractNumId w:val="25"/>
  </w:num>
  <w:num w:numId="14">
    <w:abstractNumId w:val="21"/>
  </w:num>
  <w:num w:numId="15">
    <w:abstractNumId w:val="30"/>
  </w:num>
  <w:num w:numId="16">
    <w:abstractNumId w:val="29"/>
  </w:num>
  <w:num w:numId="17">
    <w:abstractNumId w:val="23"/>
  </w:num>
  <w:num w:numId="18">
    <w:abstractNumId w:val="17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2"/>
  </w:num>
  <w:num w:numId="24">
    <w:abstractNumId w:val="10"/>
  </w:num>
  <w:num w:numId="25">
    <w:abstractNumId w:val="8"/>
  </w:num>
  <w:num w:numId="26">
    <w:abstractNumId w:val="24"/>
  </w:num>
  <w:num w:numId="27">
    <w:abstractNumId w:val="3"/>
  </w:num>
  <w:num w:numId="28">
    <w:abstractNumId w:val="26"/>
  </w:num>
  <w:num w:numId="29">
    <w:abstractNumId w:val="33"/>
  </w:num>
  <w:num w:numId="30">
    <w:abstractNumId w:val="9"/>
  </w:num>
  <w:num w:numId="31">
    <w:abstractNumId w:val="16"/>
  </w:num>
  <w:num w:numId="32">
    <w:abstractNumId w:val="12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6"/>
    <w:rsid w:val="00003B4D"/>
    <w:rsid w:val="00006279"/>
    <w:rsid w:val="000064FA"/>
    <w:rsid w:val="000069AF"/>
    <w:rsid w:val="0001583D"/>
    <w:rsid w:val="00015CF3"/>
    <w:rsid w:val="00015FDE"/>
    <w:rsid w:val="00021C28"/>
    <w:rsid w:val="00027D56"/>
    <w:rsid w:val="00030464"/>
    <w:rsid w:val="0003148D"/>
    <w:rsid w:val="0003331E"/>
    <w:rsid w:val="000342A5"/>
    <w:rsid w:val="000362E2"/>
    <w:rsid w:val="00036BF7"/>
    <w:rsid w:val="00036D52"/>
    <w:rsid w:val="0003793C"/>
    <w:rsid w:val="000535F9"/>
    <w:rsid w:val="00053FDD"/>
    <w:rsid w:val="000543C6"/>
    <w:rsid w:val="000600A8"/>
    <w:rsid w:val="000607F5"/>
    <w:rsid w:val="00061C52"/>
    <w:rsid w:val="00063480"/>
    <w:rsid w:val="000638F2"/>
    <w:rsid w:val="0006503A"/>
    <w:rsid w:val="00071DC7"/>
    <w:rsid w:val="00074C61"/>
    <w:rsid w:val="00076828"/>
    <w:rsid w:val="00076B73"/>
    <w:rsid w:val="000779EB"/>
    <w:rsid w:val="00082495"/>
    <w:rsid w:val="000831C1"/>
    <w:rsid w:val="000922B3"/>
    <w:rsid w:val="000944F5"/>
    <w:rsid w:val="000A10FC"/>
    <w:rsid w:val="000A125F"/>
    <w:rsid w:val="000A1743"/>
    <w:rsid w:val="000A2197"/>
    <w:rsid w:val="000B2990"/>
    <w:rsid w:val="000B2DAD"/>
    <w:rsid w:val="000C0247"/>
    <w:rsid w:val="000D778F"/>
    <w:rsid w:val="000E0CB3"/>
    <w:rsid w:val="000E1E21"/>
    <w:rsid w:val="000E3FDB"/>
    <w:rsid w:val="000E5B8C"/>
    <w:rsid w:val="000E7A13"/>
    <w:rsid w:val="000F217E"/>
    <w:rsid w:val="000F756A"/>
    <w:rsid w:val="00101831"/>
    <w:rsid w:val="00101D5A"/>
    <w:rsid w:val="00106229"/>
    <w:rsid w:val="001141A7"/>
    <w:rsid w:val="00114EF3"/>
    <w:rsid w:val="00115ECF"/>
    <w:rsid w:val="0013553C"/>
    <w:rsid w:val="00140B74"/>
    <w:rsid w:val="001467B5"/>
    <w:rsid w:val="001522A5"/>
    <w:rsid w:val="00163030"/>
    <w:rsid w:val="001631E2"/>
    <w:rsid w:val="001644C6"/>
    <w:rsid w:val="0016770E"/>
    <w:rsid w:val="001716B0"/>
    <w:rsid w:val="001740C0"/>
    <w:rsid w:val="00176A51"/>
    <w:rsid w:val="00190E1A"/>
    <w:rsid w:val="00194DAC"/>
    <w:rsid w:val="001A0EE5"/>
    <w:rsid w:val="001A16FA"/>
    <w:rsid w:val="001A2541"/>
    <w:rsid w:val="001A4CB9"/>
    <w:rsid w:val="001A56C1"/>
    <w:rsid w:val="001A6795"/>
    <w:rsid w:val="001B0E71"/>
    <w:rsid w:val="001B15A7"/>
    <w:rsid w:val="001B4FC8"/>
    <w:rsid w:val="001B63DC"/>
    <w:rsid w:val="001C14A0"/>
    <w:rsid w:val="001C206C"/>
    <w:rsid w:val="001D487A"/>
    <w:rsid w:val="001D527A"/>
    <w:rsid w:val="001E553E"/>
    <w:rsid w:val="001E5E80"/>
    <w:rsid w:val="001F40FA"/>
    <w:rsid w:val="001F4480"/>
    <w:rsid w:val="0020074B"/>
    <w:rsid w:val="0020484F"/>
    <w:rsid w:val="00210922"/>
    <w:rsid w:val="00211586"/>
    <w:rsid w:val="00211ACA"/>
    <w:rsid w:val="0021649C"/>
    <w:rsid w:val="00216A24"/>
    <w:rsid w:val="00217757"/>
    <w:rsid w:val="002238D1"/>
    <w:rsid w:val="0022604E"/>
    <w:rsid w:val="002308BE"/>
    <w:rsid w:val="00233F37"/>
    <w:rsid w:val="00241373"/>
    <w:rsid w:val="00247915"/>
    <w:rsid w:val="00253BF9"/>
    <w:rsid w:val="00264983"/>
    <w:rsid w:val="00266678"/>
    <w:rsid w:val="00271DDA"/>
    <w:rsid w:val="002720AB"/>
    <w:rsid w:val="002733BD"/>
    <w:rsid w:val="00275A94"/>
    <w:rsid w:val="00276988"/>
    <w:rsid w:val="00280DCC"/>
    <w:rsid w:val="00284665"/>
    <w:rsid w:val="00285DDA"/>
    <w:rsid w:val="00290169"/>
    <w:rsid w:val="00290601"/>
    <w:rsid w:val="002945E9"/>
    <w:rsid w:val="00295F7B"/>
    <w:rsid w:val="00297DCA"/>
    <w:rsid w:val="002A05B3"/>
    <w:rsid w:val="002A1370"/>
    <w:rsid w:val="002A225E"/>
    <w:rsid w:val="002A2391"/>
    <w:rsid w:val="002A3A25"/>
    <w:rsid w:val="002B351E"/>
    <w:rsid w:val="002B3F71"/>
    <w:rsid w:val="002B582B"/>
    <w:rsid w:val="002B6100"/>
    <w:rsid w:val="002C1FDB"/>
    <w:rsid w:val="002C3DE7"/>
    <w:rsid w:val="002C66DF"/>
    <w:rsid w:val="002D09AD"/>
    <w:rsid w:val="002D1790"/>
    <w:rsid w:val="002D494B"/>
    <w:rsid w:val="002E2E0D"/>
    <w:rsid w:val="002F0105"/>
    <w:rsid w:val="002F48EF"/>
    <w:rsid w:val="002F7306"/>
    <w:rsid w:val="003033FB"/>
    <w:rsid w:val="0030500C"/>
    <w:rsid w:val="00312EC0"/>
    <w:rsid w:val="00313F52"/>
    <w:rsid w:val="003166CA"/>
    <w:rsid w:val="00320C1F"/>
    <w:rsid w:val="00324D51"/>
    <w:rsid w:val="0032606E"/>
    <w:rsid w:val="00326408"/>
    <w:rsid w:val="00327D93"/>
    <w:rsid w:val="00332701"/>
    <w:rsid w:val="00337368"/>
    <w:rsid w:val="00340BC8"/>
    <w:rsid w:val="00340D07"/>
    <w:rsid w:val="0034236C"/>
    <w:rsid w:val="00342CD7"/>
    <w:rsid w:val="00344780"/>
    <w:rsid w:val="00345982"/>
    <w:rsid w:val="00356E2B"/>
    <w:rsid w:val="00356E34"/>
    <w:rsid w:val="00357676"/>
    <w:rsid w:val="00357CFA"/>
    <w:rsid w:val="00371B7C"/>
    <w:rsid w:val="003748EE"/>
    <w:rsid w:val="003803F0"/>
    <w:rsid w:val="0038385E"/>
    <w:rsid w:val="00384F65"/>
    <w:rsid w:val="00385A28"/>
    <w:rsid w:val="003906B9"/>
    <w:rsid w:val="0039725C"/>
    <w:rsid w:val="003A1666"/>
    <w:rsid w:val="003A16E7"/>
    <w:rsid w:val="003A7339"/>
    <w:rsid w:val="003A751F"/>
    <w:rsid w:val="003B0F64"/>
    <w:rsid w:val="003B24F8"/>
    <w:rsid w:val="003B53F8"/>
    <w:rsid w:val="003C053B"/>
    <w:rsid w:val="003C210C"/>
    <w:rsid w:val="003C3282"/>
    <w:rsid w:val="003C3985"/>
    <w:rsid w:val="003C3F4D"/>
    <w:rsid w:val="003D1A02"/>
    <w:rsid w:val="003D3A9E"/>
    <w:rsid w:val="003D3CA1"/>
    <w:rsid w:val="003D6B33"/>
    <w:rsid w:val="003E3634"/>
    <w:rsid w:val="003F0441"/>
    <w:rsid w:val="003F28B5"/>
    <w:rsid w:val="003F2D57"/>
    <w:rsid w:val="003F5108"/>
    <w:rsid w:val="003F7093"/>
    <w:rsid w:val="00401EDB"/>
    <w:rsid w:val="00404C93"/>
    <w:rsid w:val="0040747B"/>
    <w:rsid w:val="00407877"/>
    <w:rsid w:val="004103EE"/>
    <w:rsid w:val="00410EF2"/>
    <w:rsid w:val="004130B9"/>
    <w:rsid w:val="00416BCC"/>
    <w:rsid w:val="00421BB4"/>
    <w:rsid w:val="00425251"/>
    <w:rsid w:val="00425458"/>
    <w:rsid w:val="00433A59"/>
    <w:rsid w:val="00433BA6"/>
    <w:rsid w:val="00443843"/>
    <w:rsid w:val="00444433"/>
    <w:rsid w:val="004449FE"/>
    <w:rsid w:val="00446704"/>
    <w:rsid w:val="00453A51"/>
    <w:rsid w:val="00455B45"/>
    <w:rsid w:val="00455BA6"/>
    <w:rsid w:val="00456FBE"/>
    <w:rsid w:val="00460BA2"/>
    <w:rsid w:val="00460E64"/>
    <w:rsid w:val="0046545A"/>
    <w:rsid w:val="004666D6"/>
    <w:rsid w:val="00467DDA"/>
    <w:rsid w:val="004722EA"/>
    <w:rsid w:val="00472AE7"/>
    <w:rsid w:val="004752B9"/>
    <w:rsid w:val="0048141E"/>
    <w:rsid w:val="00484DEF"/>
    <w:rsid w:val="004A1CFC"/>
    <w:rsid w:val="004A34B3"/>
    <w:rsid w:val="004A5647"/>
    <w:rsid w:val="004A7F75"/>
    <w:rsid w:val="004B1FE9"/>
    <w:rsid w:val="004B5574"/>
    <w:rsid w:val="004C031C"/>
    <w:rsid w:val="004C3EAA"/>
    <w:rsid w:val="004C49BA"/>
    <w:rsid w:val="004D2B57"/>
    <w:rsid w:val="004D4EE2"/>
    <w:rsid w:val="004D7AC8"/>
    <w:rsid w:val="004E22E2"/>
    <w:rsid w:val="004E760E"/>
    <w:rsid w:val="004F65E4"/>
    <w:rsid w:val="0050563F"/>
    <w:rsid w:val="00506D80"/>
    <w:rsid w:val="005071A8"/>
    <w:rsid w:val="00513B95"/>
    <w:rsid w:val="005212C5"/>
    <w:rsid w:val="0052141E"/>
    <w:rsid w:val="00523C13"/>
    <w:rsid w:val="0052455F"/>
    <w:rsid w:val="00524DD3"/>
    <w:rsid w:val="00524F07"/>
    <w:rsid w:val="005257C2"/>
    <w:rsid w:val="0053258B"/>
    <w:rsid w:val="00532633"/>
    <w:rsid w:val="00533541"/>
    <w:rsid w:val="00533EB0"/>
    <w:rsid w:val="00536C22"/>
    <w:rsid w:val="005403F1"/>
    <w:rsid w:val="00541419"/>
    <w:rsid w:val="00542533"/>
    <w:rsid w:val="00553BB3"/>
    <w:rsid w:val="005550E2"/>
    <w:rsid w:val="005607C6"/>
    <w:rsid w:val="005618B6"/>
    <w:rsid w:val="005624B6"/>
    <w:rsid w:val="00562C46"/>
    <w:rsid w:val="005633C5"/>
    <w:rsid w:val="00570507"/>
    <w:rsid w:val="0057237F"/>
    <w:rsid w:val="00577402"/>
    <w:rsid w:val="00577A34"/>
    <w:rsid w:val="00577DED"/>
    <w:rsid w:val="005822CB"/>
    <w:rsid w:val="00587497"/>
    <w:rsid w:val="00590107"/>
    <w:rsid w:val="005903B7"/>
    <w:rsid w:val="00594965"/>
    <w:rsid w:val="00596844"/>
    <w:rsid w:val="00597AB6"/>
    <w:rsid w:val="005A0F4B"/>
    <w:rsid w:val="005A1D3C"/>
    <w:rsid w:val="005A3F34"/>
    <w:rsid w:val="005A469F"/>
    <w:rsid w:val="005B01DB"/>
    <w:rsid w:val="005B2D03"/>
    <w:rsid w:val="005C44F4"/>
    <w:rsid w:val="005C5CBF"/>
    <w:rsid w:val="005D3B88"/>
    <w:rsid w:val="005D45F5"/>
    <w:rsid w:val="005D6585"/>
    <w:rsid w:val="005E3FA8"/>
    <w:rsid w:val="005E44CB"/>
    <w:rsid w:val="005E4686"/>
    <w:rsid w:val="005E53CB"/>
    <w:rsid w:val="005F4CB4"/>
    <w:rsid w:val="00602625"/>
    <w:rsid w:val="00613BF6"/>
    <w:rsid w:val="006168D9"/>
    <w:rsid w:val="0063123E"/>
    <w:rsid w:val="00640612"/>
    <w:rsid w:val="0064227D"/>
    <w:rsid w:val="00643BD6"/>
    <w:rsid w:val="006449EA"/>
    <w:rsid w:val="0065179F"/>
    <w:rsid w:val="00652058"/>
    <w:rsid w:val="00657593"/>
    <w:rsid w:val="00667B7E"/>
    <w:rsid w:val="006705AE"/>
    <w:rsid w:val="00670C95"/>
    <w:rsid w:val="006775F6"/>
    <w:rsid w:val="00682759"/>
    <w:rsid w:val="00686049"/>
    <w:rsid w:val="00692284"/>
    <w:rsid w:val="006925CE"/>
    <w:rsid w:val="0069286A"/>
    <w:rsid w:val="006929C9"/>
    <w:rsid w:val="00692C8C"/>
    <w:rsid w:val="00696EBD"/>
    <w:rsid w:val="006A05DE"/>
    <w:rsid w:val="006A2E08"/>
    <w:rsid w:val="006A5241"/>
    <w:rsid w:val="006A60A0"/>
    <w:rsid w:val="006A7839"/>
    <w:rsid w:val="006B19E3"/>
    <w:rsid w:val="006B2748"/>
    <w:rsid w:val="006B4466"/>
    <w:rsid w:val="006B465F"/>
    <w:rsid w:val="006B5034"/>
    <w:rsid w:val="006B753C"/>
    <w:rsid w:val="006C04F7"/>
    <w:rsid w:val="006C06A1"/>
    <w:rsid w:val="006C0F22"/>
    <w:rsid w:val="006C13B1"/>
    <w:rsid w:val="006C4176"/>
    <w:rsid w:val="006C625C"/>
    <w:rsid w:val="006C66EF"/>
    <w:rsid w:val="006D2617"/>
    <w:rsid w:val="006E0326"/>
    <w:rsid w:val="006E6B72"/>
    <w:rsid w:val="006F5433"/>
    <w:rsid w:val="00700AA3"/>
    <w:rsid w:val="007042F1"/>
    <w:rsid w:val="0071196E"/>
    <w:rsid w:val="007142BA"/>
    <w:rsid w:val="00714823"/>
    <w:rsid w:val="00717197"/>
    <w:rsid w:val="0071789F"/>
    <w:rsid w:val="007222A8"/>
    <w:rsid w:val="00723099"/>
    <w:rsid w:val="00730088"/>
    <w:rsid w:val="00732AB0"/>
    <w:rsid w:val="007354E4"/>
    <w:rsid w:val="00736C98"/>
    <w:rsid w:val="00747222"/>
    <w:rsid w:val="00750898"/>
    <w:rsid w:val="00751E16"/>
    <w:rsid w:val="007529E4"/>
    <w:rsid w:val="00756040"/>
    <w:rsid w:val="00767350"/>
    <w:rsid w:val="007710D2"/>
    <w:rsid w:val="00773559"/>
    <w:rsid w:val="007742AC"/>
    <w:rsid w:val="0078127A"/>
    <w:rsid w:val="00782F9E"/>
    <w:rsid w:val="00783AE7"/>
    <w:rsid w:val="00783AF2"/>
    <w:rsid w:val="00784FD2"/>
    <w:rsid w:val="00787E46"/>
    <w:rsid w:val="00792E79"/>
    <w:rsid w:val="00794274"/>
    <w:rsid w:val="00794D0F"/>
    <w:rsid w:val="007979D9"/>
    <w:rsid w:val="007A6609"/>
    <w:rsid w:val="007B2EB5"/>
    <w:rsid w:val="007B52EB"/>
    <w:rsid w:val="007B543F"/>
    <w:rsid w:val="007B6758"/>
    <w:rsid w:val="007B7B73"/>
    <w:rsid w:val="007C2CED"/>
    <w:rsid w:val="007C3F1E"/>
    <w:rsid w:val="007D1A85"/>
    <w:rsid w:val="007E33CE"/>
    <w:rsid w:val="00802988"/>
    <w:rsid w:val="008146C4"/>
    <w:rsid w:val="00817179"/>
    <w:rsid w:val="008271BE"/>
    <w:rsid w:val="00832001"/>
    <w:rsid w:val="008328B3"/>
    <w:rsid w:val="00835944"/>
    <w:rsid w:val="0083726B"/>
    <w:rsid w:val="008415A0"/>
    <w:rsid w:val="008531DE"/>
    <w:rsid w:val="0085364B"/>
    <w:rsid w:val="00855576"/>
    <w:rsid w:val="008566E5"/>
    <w:rsid w:val="00857C6D"/>
    <w:rsid w:val="008610B6"/>
    <w:rsid w:val="00866993"/>
    <w:rsid w:val="00870930"/>
    <w:rsid w:val="00874366"/>
    <w:rsid w:val="008762D8"/>
    <w:rsid w:val="008766C1"/>
    <w:rsid w:val="00882F3C"/>
    <w:rsid w:val="0088719C"/>
    <w:rsid w:val="0089430F"/>
    <w:rsid w:val="00896C40"/>
    <w:rsid w:val="00897035"/>
    <w:rsid w:val="008A3CAD"/>
    <w:rsid w:val="008A4F9B"/>
    <w:rsid w:val="008B091E"/>
    <w:rsid w:val="008B0A15"/>
    <w:rsid w:val="008B1589"/>
    <w:rsid w:val="008B74DD"/>
    <w:rsid w:val="008B7506"/>
    <w:rsid w:val="008C4BEC"/>
    <w:rsid w:val="008C72B5"/>
    <w:rsid w:val="008C7A61"/>
    <w:rsid w:val="008D10FD"/>
    <w:rsid w:val="008D122F"/>
    <w:rsid w:val="008D13DA"/>
    <w:rsid w:val="008D5F60"/>
    <w:rsid w:val="008D69E9"/>
    <w:rsid w:val="008D727F"/>
    <w:rsid w:val="008D7A4C"/>
    <w:rsid w:val="008F0210"/>
    <w:rsid w:val="008F1EA5"/>
    <w:rsid w:val="008F2600"/>
    <w:rsid w:val="008F5D52"/>
    <w:rsid w:val="008F67A4"/>
    <w:rsid w:val="00902F43"/>
    <w:rsid w:val="00904F17"/>
    <w:rsid w:val="00905CA7"/>
    <w:rsid w:val="0091166C"/>
    <w:rsid w:val="009158B4"/>
    <w:rsid w:val="00922966"/>
    <w:rsid w:val="00922DAC"/>
    <w:rsid w:val="00924036"/>
    <w:rsid w:val="0092710A"/>
    <w:rsid w:val="0093325E"/>
    <w:rsid w:val="00937AE3"/>
    <w:rsid w:val="00937D24"/>
    <w:rsid w:val="00941A83"/>
    <w:rsid w:val="0094246E"/>
    <w:rsid w:val="00943175"/>
    <w:rsid w:val="00954D7A"/>
    <w:rsid w:val="0095741D"/>
    <w:rsid w:val="00957695"/>
    <w:rsid w:val="009604A7"/>
    <w:rsid w:val="009612C9"/>
    <w:rsid w:val="00963198"/>
    <w:rsid w:val="00964DA5"/>
    <w:rsid w:val="00964E0A"/>
    <w:rsid w:val="0097288F"/>
    <w:rsid w:val="00977774"/>
    <w:rsid w:val="0098207E"/>
    <w:rsid w:val="00990AAE"/>
    <w:rsid w:val="00993B53"/>
    <w:rsid w:val="00995D49"/>
    <w:rsid w:val="009A568C"/>
    <w:rsid w:val="009B6120"/>
    <w:rsid w:val="009C2450"/>
    <w:rsid w:val="009C2F76"/>
    <w:rsid w:val="009C7A2D"/>
    <w:rsid w:val="009D033A"/>
    <w:rsid w:val="009D4474"/>
    <w:rsid w:val="009D537F"/>
    <w:rsid w:val="009E558C"/>
    <w:rsid w:val="009E6EDF"/>
    <w:rsid w:val="009E72A6"/>
    <w:rsid w:val="009F5312"/>
    <w:rsid w:val="009F56B7"/>
    <w:rsid w:val="00A02AEC"/>
    <w:rsid w:val="00A03BA7"/>
    <w:rsid w:val="00A0448F"/>
    <w:rsid w:val="00A0594A"/>
    <w:rsid w:val="00A12C47"/>
    <w:rsid w:val="00A20732"/>
    <w:rsid w:val="00A23E04"/>
    <w:rsid w:val="00A25014"/>
    <w:rsid w:val="00A31D38"/>
    <w:rsid w:val="00A4484B"/>
    <w:rsid w:val="00A44DAA"/>
    <w:rsid w:val="00A46C15"/>
    <w:rsid w:val="00A50DC0"/>
    <w:rsid w:val="00A529D9"/>
    <w:rsid w:val="00A53BFB"/>
    <w:rsid w:val="00A63695"/>
    <w:rsid w:val="00A64EBD"/>
    <w:rsid w:val="00A7235B"/>
    <w:rsid w:val="00A72F06"/>
    <w:rsid w:val="00A730F2"/>
    <w:rsid w:val="00A73F0E"/>
    <w:rsid w:val="00A76AD5"/>
    <w:rsid w:val="00A77FFD"/>
    <w:rsid w:val="00A95533"/>
    <w:rsid w:val="00AB4554"/>
    <w:rsid w:val="00AB7BD0"/>
    <w:rsid w:val="00AC09CC"/>
    <w:rsid w:val="00AC16DC"/>
    <w:rsid w:val="00AC47B6"/>
    <w:rsid w:val="00AC4F37"/>
    <w:rsid w:val="00AC72E0"/>
    <w:rsid w:val="00AD7DF9"/>
    <w:rsid w:val="00AE29BB"/>
    <w:rsid w:val="00AE2CAF"/>
    <w:rsid w:val="00AE3E3F"/>
    <w:rsid w:val="00AE5D92"/>
    <w:rsid w:val="00AE61CD"/>
    <w:rsid w:val="00AF1168"/>
    <w:rsid w:val="00AF33D9"/>
    <w:rsid w:val="00AF5EDA"/>
    <w:rsid w:val="00B0002F"/>
    <w:rsid w:val="00B002E4"/>
    <w:rsid w:val="00B01645"/>
    <w:rsid w:val="00B05A83"/>
    <w:rsid w:val="00B05B5B"/>
    <w:rsid w:val="00B05B93"/>
    <w:rsid w:val="00B06E2A"/>
    <w:rsid w:val="00B133F2"/>
    <w:rsid w:val="00B31AAA"/>
    <w:rsid w:val="00B32F51"/>
    <w:rsid w:val="00B3320F"/>
    <w:rsid w:val="00B332B2"/>
    <w:rsid w:val="00B34CCC"/>
    <w:rsid w:val="00B3569D"/>
    <w:rsid w:val="00B36EC7"/>
    <w:rsid w:val="00B36EDD"/>
    <w:rsid w:val="00B42A62"/>
    <w:rsid w:val="00B44CB0"/>
    <w:rsid w:val="00B4571E"/>
    <w:rsid w:val="00B50B56"/>
    <w:rsid w:val="00B56C68"/>
    <w:rsid w:val="00B60399"/>
    <w:rsid w:val="00B61C97"/>
    <w:rsid w:val="00B628C5"/>
    <w:rsid w:val="00B632C3"/>
    <w:rsid w:val="00B6479B"/>
    <w:rsid w:val="00B71933"/>
    <w:rsid w:val="00B735EE"/>
    <w:rsid w:val="00B756AE"/>
    <w:rsid w:val="00B759BF"/>
    <w:rsid w:val="00B8078D"/>
    <w:rsid w:val="00B81CEB"/>
    <w:rsid w:val="00B9740D"/>
    <w:rsid w:val="00BB06C6"/>
    <w:rsid w:val="00BB1E16"/>
    <w:rsid w:val="00BB40AF"/>
    <w:rsid w:val="00BC5DAB"/>
    <w:rsid w:val="00BD12A3"/>
    <w:rsid w:val="00BD3BB9"/>
    <w:rsid w:val="00BD43AA"/>
    <w:rsid w:val="00BD7F6E"/>
    <w:rsid w:val="00BE1CDB"/>
    <w:rsid w:val="00BE7F33"/>
    <w:rsid w:val="00BF0CF6"/>
    <w:rsid w:val="00BF1F48"/>
    <w:rsid w:val="00BF452C"/>
    <w:rsid w:val="00BF4706"/>
    <w:rsid w:val="00BF47B0"/>
    <w:rsid w:val="00BF5327"/>
    <w:rsid w:val="00C00CD1"/>
    <w:rsid w:val="00C00FF4"/>
    <w:rsid w:val="00C03917"/>
    <w:rsid w:val="00C06634"/>
    <w:rsid w:val="00C11303"/>
    <w:rsid w:val="00C175D4"/>
    <w:rsid w:val="00C21D33"/>
    <w:rsid w:val="00C22E88"/>
    <w:rsid w:val="00C271F2"/>
    <w:rsid w:val="00C27341"/>
    <w:rsid w:val="00C31157"/>
    <w:rsid w:val="00C3382F"/>
    <w:rsid w:val="00C4377C"/>
    <w:rsid w:val="00C47580"/>
    <w:rsid w:val="00C47F0F"/>
    <w:rsid w:val="00C51D84"/>
    <w:rsid w:val="00C51F79"/>
    <w:rsid w:val="00C52506"/>
    <w:rsid w:val="00C541D8"/>
    <w:rsid w:val="00C55252"/>
    <w:rsid w:val="00C70BD6"/>
    <w:rsid w:val="00C70D14"/>
    <w:rsid w:val="00C7640A"/>
    <w:rsid w:val="00C82259"/>
    <w:rsid w:val="00C85AE1"/>
    <w:rsid w:val="00C91B26"/>
    <w:rsid w:val="00C9223A"/>
    <w:rsid w:val="00C9297C"/>
    <w:rsid w:val="00C94014"/>
    <w:rsid w:val="00C957EC"/>
    <w:rsid w:val="00C961ED"/>
    <w:rsid w:val="00C97F18"/>
    <w:rsid w:val="00CA2128"/>
    <w:rsid w:val="00CA3C62"/>
    <w:rsid w:val="00CA5786"/>
    <w:rsid w:val="00CA691A"/>
    <w:rsid w:val="00CB0A99"/>
    <w:rsid w:val="00CB5A09"/>
    <w:rsid w:val="00CC7EE7"/>
    <w:rsid w:val="00CD0CD4"/>
    <w:rsid w:val="00CD28E1"/>
    <w:rsid w:val="00CE3B9F"/>
    <w:rsid w:val="00CF0476"/>
    <w:rsid w:val="00CF1FB8"/>
    <w:rsid w:val="00CF2C65"/>
    <w:rsid w:val="00D00CF8"/>
    <w:rsid w:val="00D06083"/>
    <w:rsid w:val="00D078B6"/>
    <w:rsid w:val="00D1022C"/>
    <w:rsid w:val="00D12FFD"/>
    <w:rsid w:val="00D25F75"/>
    <w:rsid w:val="00D27115"/>
    <w:rsid w:val="00D27FDA"/>
    <w:rsid w:val="00D30973"/>
    <w:rsid w:val="00D315F0"/>
    <w:rsid w:val="00D31F50"/>
    <w:rsid w:val="00D335D5"/>
    <w:rsid w:val="00D34DCC"/>
    <w:rsid w:val="00D37273"/>
    <w:rsid w:val="00D45AC3"/>
    <w:rsid w:val="00D46BE1"/>
    <w:rsid w:val="00D46FDE"/>
    <w:rsid w:val="00D504D2"/>
    <w:rsid w:val="00D55453"/>
    <w:rsid w:val="00D55728"/>
    <w:rsid w:val="00D55F26"/>
    <w:rsid w:val="00D61D9B"/>
    <w:rsid w:val="00D63CE7"/>
    <w:rsid w:val="00D739F7"/>
    <w:rsid w:val="00D760BA"/>
    <w:rsid w:val="00D860BC"/>
    <w:rsid w:val="00D875D7"/>
    <w:rsid w:val="00D92C28"/>
    <w:rsid w:val="00D96637"/>
    <w:rsid w:val="00D972EF"/>
    <w:rsid w:val="00DA2F09"/>
    <w:rsid w:val="00DA3322"/>
    <w:rsid w:val="00DA3C02"/>
    <w:rsid w:val="00DA50FE"/>
    <w:rsid w:val="00DB6FFC"/>
    <w:rsid w:val="00DB7337"/>
    <w:rsid w:val="00DC1E60"/>
    <w:rsid w:val="00DC3C57"/>
    <w:rsid w:val="00DC7767"/>
    <w:rsid w:val="00DD19B3"/>
    <w:rsid w:val="00DD53DE"/>
    <w:rsid w:val="00DD60CC"/>
    <w:rsid w:val="00DE2122"/>
    <w:rsid w:val="00DE6832"/>
    <w:rsid w:val="00DF1BED"/>
    <w:rsid w:val="00DF4D12"/>
    <w:rsid w:val="00E00F64"/>
    <w:rsid w:val="00E011ED"/>
    <w:rsid w:val="00E03426"/>
    <w:rsid w:val="00E10AE2"/>
    <w:rsid w:val="00E10F0A"/>
    <w:rsid w:val="00E11F46"/>
    <w:rsid w:val="00E12C78"/>
    <w:rsid w:val="00E14594"/>
    <w:rsid w:val="00E145E9"/>
    <w:rsid w:val="00E15FAD"/>
    <w:rsid w:val="00E21875"/>
    <w:rsid w:val="00E230CD"/>
    <w:rsid w:val="00E23A06"/>
    <w:rsid w:val="00E25407"/>
    <w:rsid w:val="00E27755"/>
    <w:rsid w:val="00E317EE"/>
    <w:rsid w:val="00E31F59"/>
    <w:rsid w:val="00E32599"/>
    <w:rsid w:val="00E3341C"/>
    <w:rsid w:val="00E33B0E"/>
    <w:rsid w:val="00E3491A"/>
    <w:rsid w:val="00E42621"/>
    <w:rsid w:val="00E446A6"/>
    <w:rsid w:val="00E52A5D"/>
    <w:rsid w:val="00E53CB5"/>
    <w:rsid w:val="00E53CCD"/>
    <w:rsid w:val="00E56D3F"/>
    <w:rsid w:val="00E62607"/>
    <w:rsid w:val="00E6592D"/>
    <w:rsid w:val="00E66ED4"/>
    <w:rsid w:val="00E70B00"/>
    <w:rsid w:val="00E71855"/>
    <w:rsid w:val="00E719A9"/>
    <w:rsid w:val="00E76C08"/>
    <w:rsid w:val="00E808FA"/>
    <w:rsid w:val="00E8774B"/>
    <w:rsid w:val="00E96A5D"/>
    <w:rsid w:val="00EA0EFE"/>
    <w:rsid w:val="00EA1642"/>
    <w:rsid w:val="00EA1A83"/>
    <w:rsid w:val="00EA1DE4"/>
    <w:rsid w:val="00EA4D9C"/>
    <w:rsid w:val="00EA60EA"/>
    <w:rsid w:val="00EB14C4"/>
    <w:rsid w:val="00EB29BF"/>
    <w:rsid w:val="00EB5106"/>
    <w:rsid w:val="00EC7C7F"/>
    <w:rsid w:val="00ED0C29"/>
    <w:rsid w:val="00ED51BD"/>
    <w:rsid w:val="00ED72DC"/>
    <w:rsid w:val="00EE5143"/>
    <w:rsid w:val="00EE7F40"/>
    <w:rsid w:val="00EF19E5"/>
    <w:rsid w:val="00EF28AE"/>
    <w:rsid w:val="00EF4B42"/>
    <w:rsid w:val="00F003D3"/>
    <w:rsid w:val="00F008AB"/>
    <w:rsid w:val="00F00E19"/>
    <w:rsid w:val="00F03A01"/>
    <w:rsid w:val="00F03E32"/>
    <w:rsid w:val="00F05F7A"/>
    <w:rsid w:val="00F0695C"/>
    <w:rsid w:val="00F12BBB"/>
    <w:rsid w:val="00F24DA3"/>
    <w:rsid w:val="00F254AD"/>
    <w:rsid w:val="00F278DC"/>
    <w:rsid w:val="00F31392"/>
    <w:rsid w:val="00F3510C"/>
    <w:rsid w:val="00F37C56"/>
    <w:rsid w:val="00F403A7"/>
    <w:rsid w:val="00F42289"/>
    <w:rsid w:val="00F42E75"/>
    <w:rsid w:val="00F45D65"/>
    <w:rsid w:val="00F517FA"/>
    <w:rsid w:val="00F51E3E"/>
    <w:rsid w:val="00F52D16"/>
    <w:rsid w:val="00F62D67"/>
    <w:rsid w:val="00F63BD9"/>
    <w:rsid w:val="00F6694C"/>
    <w:rsid w:val="00F72412"/>
    <w:rsid w:val="00F73C2A"/>
    <w:rsid w:val="00F753C8"/>
    <w:rsid w:val="00F75432"/>
    <w:rsid w:val="00F77188"/>
    <w:rsid w:val="00F777A2"/>
    <w:rsid w:val="00F801E2"/>
    <w:rsid w:val="00F80312"/>
    <w:rsid w:val="00F8053A"/>
    <w:rsid w:val="00F8145F"/>
    <w:rsid w:val="00F9283D"/>
    <w:rsid w:val="00F96F18"/>
    <w:rsid w:val="00F97A5D"/>
    <w:rsid w:val="00FA337C"/>
    <w:rsid w:val="00FA508E"/>
    <w:rsid w:val="00FA5320"/>
    <w:rsid w:val="00FA55AA"/>
    <w:rsid w:val="00FA7846"/>
    <w:rsid w:val="00FB49CF"/>
    <w:rsid w:val="00FC1017"/>
    <w:rsid w:val="00FC26E5"/>
    <w:rsid w:val="00FC5D09"/>
    <w:rsid w:val="00FC657F"/>
    <w:rsid w:val="00FD19F1"/>
    <w:rsid w:val="00FD370F"/>
    <w:rsid w:val="00FE0B90"/>
    <w:rsid w:val="00FE1A2C"/>
    <w:rsid w:val="00FE61BD"/>
    <w:rsid w:val="00FF2F6B"/>
    <w:rsid w:val="00FF4C41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EF7B1A"/>
  <w15:docId w15:val="{C82BD6F5-61B4-4CED-94EB-71E6D1B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semiHidden/>
    <w:unhideWhenUsed/>
    <w:rsid w:val="0021649C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7B543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B543F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7B543F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B543F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7B543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Normal (Web)"/>
    <w:aliases w:val="Обычный (Web)"/>
    <w:basedOn w:val="a"/>
    <w:link w:val="afc"/>
    <w:unhideWhenUsed/>
    <w:qFormat/>
    <w:rsid w:val="00BF452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">
    <w:name w:val="Текст у виносці Знак1"/>
    <w:basedOn w:val="a0"/>
    <w:uiPriority w:val="99"/>
    <w:semiHidden/>
    <w:rsid w:val="00B3569D"/>
    <w:rPr>
      <w:rFonts w:ascii="Segoe UI" w:hAnsi="Segoe UI" w:cs="Segoe UI"/>
      <w:sz w:val="18"/>
      <w:szCs w:val="18"/>
      <w:lang w:val="x-none" w:eastAsia="uk-UA"/>
    </w:rPr>
  </w:style>
  <w:style w:type="character" w:customStyle="1" w:styleId="af4">
    <w:name w:val="Абзац списку Знак"/>
    <w:link w:val="af3"/>
    <w:uiPriority w:val="34"/>
    <w:locked/>
    <w:rsid w:val="00326408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6168D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c">
    <w:name w:val="Звичайний (веб) Знак"/>
    <w:aliases w:val="Обычный (Web) Знак"/>
    <w:link w:val="afb"/>
    <w:locked/>
    <w:rsid w:val="0083726B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C0663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15">
    <w:name w:val="span_rvts15"/>
    <w:basedOn w:val="a0"/>
    <w:rsid w:val="00444433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Default">
    <w:name w:val="Default"/>
    <w:rsid w:val="00410E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rvts96">
    <w:name w:val="a_rvts96"/>
    <w:basedOn w:val="a0"/>
    <w:rsid w:val="003B0F64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1644-1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z1084-1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361-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953-20" TargetMode="External"/><Relationship Id="rId20" Type="http://schemas.openxmlformats.org/officeDocument/2006/relationships/hyperlink" Target="https://zakon.rada.gov.ua/laws/show/z1431-1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5178-17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zakon.rada.gov.ua/laws/show/z1325-1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hyperlink" Target="https://zakon.rada.gov.ua/laws/show/v0140500-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2D058E-E5EE-408B-9CF6-25460C2B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1372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Котлярова Ірина Федорівна</dc:creator>
  <cp:lastModifiedBy>Калинчук Інна Василівна</cp:lastModifiedBy>
  <cp:revision>6</cp:revision>
  <cp:lastPrinted>2024-06-05T13:51:00Z</cp:lastPrinted>
  <dcterms:created xsi:type="dcterms:W3CDTF">2025-09-12T07:04:00Z</dcterms:created>
  <dcterms:modified xsi:type="dcterms:W3CDTF">2025-09-12T08:23:00Z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