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514E" w14:textId="77777777" w:rsidR="00B930E3" w:rsidRPr="001546D6" w:rsidRDefault="00B930E3">
      <w:pPr>
        <w:rPr>
          <w:sz w:val="2"/>
          <w:szCs w:val="2"/>
          <w:lang w:val="en-US"/>
        </w:rPr>
      </w:pPr>
      <w:bookmarkStart w:id="0" w:name="_GoBack"/>
      <w:bookmarkEnd w:id="0"/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14:paraId="672E5CEF" w14:textId="77777777" w:rsidTr="00D96228">
        <w:trPr>
          <w:trHeight w:val="851"/>
        </w:trPr>
        <w:tc>
          <w:tcPr>
            <w:tcW w:w="1664" w:type="pct"/>
          </w:tcPr>
          <w:p w14:paraId="00BB00C5" w14:textId="77777777" w:rsidR="00410EC0" w:rsidRDefault="00410EC0" w:rsidP="000F60CD"/>
        </w:tc>
        <w:tc>
          <w:tcPr>
            <w:tcW w:w="1674" w:type="pct"/>
            <w:vMerge w:val="restart"/>
          </w:tcPr>
          <w:p w14:paraId="21193A78" w14:textId="77777777" w:rsidR="00410EC0" w:rsidRDefault="00410EC0" w:rsidP="000F60CD">
            <w:pPr>
              <w:jc w:val="center"/>
            </w:pPr>
            <w:r>
              <w:object w:dxaOrig="1595" w:dyaOrig="2201" w14:anchorId="42C723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95pt;height:47.8pt" o:ole="">
                  <v:imagedata r:id="rId12" o:title=""/>
                </v:shape>
                <o:OLEObject Type="Embed" ProgID="CorelDraw.Graphic.16" ShapeID="_x0000_i1025" DrawAspect="Content" ObjectID="_1834063598" r:id="rId13"/>
              </w:object>
            </w:r>
          </w:p>
        </w:tc>
        <w:tc>
          <w:tcPr>
            <w:tcW w:w="1662" w:type="pct"/>
          </w:tcPr>
          <w:p w14:paraId="5FE4CA36" w14:textId="0E5F37F1" w:rsidR="00410EC0" w:rsidRDefault="003D2FC8" w:rsidP="003D2FC8">
            <w:pPr>
              <w:jc w:val="right"/>
            </w:pPr>
            <w:r>
              <w:t>ПРОЄКТ</w:t>
            </w:r>
          </w:p>
        </w:tc>
      </w:tr>
      <w:tr w:rsidR="00410EC0" w14:paraId="26B1A82B" w14:textId="77777777" w:rsidTr="00D96228">
        <w:tc>
          <w:tcPr>
            <w:tcW w:w="1664" w:type="pct"/>
          </w:tcPr>
          <w:p w14:paraId="78B020C7" w14:textId="77777777" w:rsidR="00410EC0" w:rsidRDefault="00410EC0" w:rsidP="000F60CD"/>
        </w:tc>
        <w:tc>
          <w:tcPr>
            <w:tcW w:w="1674" w:type="pct"/>
            <w:vMerge/>
          </w:tcPr>
          <w:p w14:paraId="17E657F9" w14:textId="77777777" w:rsidR="00410EC0" w:rsidRDefault="00410EC0" w:rsidP="000F60CD"/>
        </w:tc>
        <w:tc>
          <w:tcPr>
            <w:tcW w:w="1662" w:type="pct"/>
          </w:tcPr>
          <w:p w14:paraId="7AC9B1A9" w14:textId="77777777" w:rsidR="00410EC0" w:rsidRDefault="00410EC0" w:rsidP="000F60CD"/>
        </w:tc>
      </w:tr>
      <w:tr w:rsidR="00410EC0" w14:paraId="34538B12" w14:textId="77777777" w:rsidTr="00D96228">
        <w:tc>
          <w:tcPr>
            <w:tcW w:w="5000" w:type="pct"/>
            <w:gridSpan w:val="3"/>
          </w:tcPr>
          <w:p w14:paraId="088D3232" w14:textId="77777777" w:rsidR="00410EC0" w:rsidRPr="00E10F0A" w:rsidRDefault="00410EC0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BCB60F6" w14:textId="77777777" w:rsidR="00410EC0" w:rsidRDefault="00410EC0" w:rsidP="000F60C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040AF2E1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2635"/>
        <w:gridCol w:w="1675"/>
        <w:gridCol w:w="1895"/>
      </w:tblGrid>
      <w:tr w:rsidR="00410EC0" w14:paraId="1A3F4367" w14:textId="77777777" w:rsidTr="00D96228">
        <w:tc>
          <w:tcPr>
            <w:tcW w:w="1781" w:type="pct"/>
            <w:vAlign w:val="bottom"/>
          </w:tcPr>
          <w:p w14:paraId="33146433" w14:textId="77777777" w:rsidR="00410EC0" w:rsidRPr="00566BA2" w:rsidRDefault="00410EC0" w:rsidP="000F60CD"/>
        </w:tc>
        <w:tc>
          <w:tcPr>
            <w:tcW w:w="1367" w:type="pct"/>
          </w:tcPr>
          <w:p w14:paraId="3054D6CA" w14:textId="77777777" w:rsidR="00410EC0" w:rsidRDefault="00BF0770" w:rsidP="000F60CD">
            <w:pPr>
              <w:spacing w:before="240"/>
              <w:jc w:val="center"/>
            </w:pPr>
            <w:r w:rsidRPr="009B7F4D">
              <w:rPr>
                <w:color w:val="006600"/>
                <w:lang w:val="ru-RU"/>
              </w:rPr>
              <w:t xml:space="preserve"> </w:t>
            </w:r>
            <w:r w:rsidR="00410EC0" w:rsidRPr="00E10F0A">
              <w:rPr>
                <w:color w:val="006600"/>
              </w:rPr>
              <w:t>Київ</w:t>
            </w:r>
          </w:p>
        </w:tc>
        <w:tc>
          <w:tcPr>
            <w:tcW w:w="869" w:type="pct"/>
            <w:vAlign w:val="bottom"/>
          </w:tcPr>
          <w:p w14:paraId="41C0CA31" w14:textId="77777777" w:rsidR="00410EC0" w:rsidRPr="00101D5A" w:rsidRDefault="00410EC0" w:rsidP="000F60C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983" w:type="pct"/>
            <w:vAlign w:val="bottom"/>
          </w:tcPr>
          <w:p w14:paraId="1C19863B" w14:textId="77777777" w:rsidR="00410EC0" w:rsidRDefault="00410EC0" w:rsidP="000F60CD">
            <w:pPr>
              <w:jc w:val="left"/>
            </w:pPr>
          </w:p>
        </w:tc>
      </w:tr>
    </w:tbl>
    <w:p w14:paraId="08098237" w14:textId="77777777" w:rsidR="00410EC0" w:rsidRPr="00CD0CD4" w:rsidRDefault="00410EC0" w:rsidP="00410EC0">
      <w:pPr>
        <w:rPr>
          <w:sz w:val="2"/>
          <w:szCs w:val="2"/>
        </w:rPr>
      </w:pPr>
    </w:p>
    <w:p w14:paraId="6FD52981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4"/>
      </w:tblGrid>
      <w:tr w:rsidR="00410EC0" w:rsidRPr="00CD0CD4" w14:paraId="076D4B95" w14:textId="77777777" w:rsidTr="00D96228">
        <w:trPr>
          <w:jc w:val="center"/>
        </w:trPr>
        <w:tc>
          <w:tcPr>
            <w:tcW w:w="5000" w:type="pct"/>
          </w:tcPr>
          <w:p w14:paraId="5FA63C89" w14:textId="77777777" w:rsidR="00410EC0" w:rsidRPr="00D31AEC" w:rsidRDefault="00AA45FA" w:rsidP="00AA45FA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D31AEC">
              <w:rPr>
                <w:color w:val="0D0D0D"/>
                <w:lang w:eastAsia="en-US"/>
              </w:rPr>
              <w:t>Про внесення змін до постанови Правління Національного банку України від</w:t>
            </w:r>
            <w:r w:rsidR="002D05DC" w:rsidRPr="00D31AEC">
              <w:rPr>
                <w:color w:val="0D0D0D"/>
                <w:lang w:eastAsia="en-US"/>
              </w:rPr>
              <w:t xml:space="preserve"> 27 грудня 2023 року № </w:t>
            </w:r>
            <w:r w:rsidRPr="00D31AEC">
              <w:rPr>
                <w:color w:val="0D0D0D"/>
                <w:lang w:eastAsia="en-US"/>
              </w:rPr>
              <w:t>192</w:t>
            </w:r>
          </w:p>
        </w:tc>
      </w:tr>
    </w:tbl>
    <w:p w14:paraId="06F9579E" w14:textId="33D979FE" w:rsidR="00410EC0" w:rsidRPr="002D05DC" w:rsidRDefault="00AA45FA" w:rsidP="00AA45FA">
      <w:pPr>
        <w:spacing w:before="240" w:after="240"/>
        <w:ind w:firstLine="567"/>
        <w:rPr>
          <w:b/>
        </w:rPr>
      </w:pPr>
      <w:r>
        <w:rPr>
          <w:rFonts w:eastAsiaTheme="minorEastAsia"/>
          <w:color w:val="000000" w:themeColor="text1"/>
          <w:lang w:eastAsia="en-US"/>
        </w:rPr>
        <w:t>Ві</w:t>
      </w:r>
      <w:r w:rsidRPr="00AA45FA">
        <w:rPr>
          <w:rFonts w:eastAsiaTheme="minorEastAsia"/>
          <w:color w:val="000000" w:themeColor="text1"/>
          <w:lang w:eastAsia="en-US"/>
        </w:rPr>
        <w:t>дповідно до статей 7,</w:t>
      </w:r>
      <w:r>
        <w:rPr>
          <w:rFonts w:eastAsiaTheme="minorEastAsia"/>
          <w:color w:val="000000" w:themeColor="text1"/>
          <w:lang w:eastAsia="en-US"/>
        </w:rPr>
        <w:t xml:space="preserve"> </w:t>
      </w:r>
      <w:r w:rsidRPr="00AA45FA">
        <w:rPr>
          <w:rFonts w:eastAsiaTheme="minorEastAsia"/>
          <w:color w:val="000000" w:themeColor="text1"/>
          <w:lang w:eastAsia="en-US"/>
        </w:rPr>
        <w:t xml:space="preserve">15, 55¹, 56, 58 Закону </w:t>
      </w:r>
      <w:r>
        <w:rPr>
          <w:rFonts w:eastAsiaTheme="minorEastAsia"/>
          <w:color w:val="000000" w:themeColor="text1"/>
          <w:lang w:eastAsia="en-US"/>
        </w:rPr>
        <w:t xml:space="preserve">України </w:t>
      </w:r>
      <w:r w:rsidRPr="00AA45FA">
        <w:rPr>
          <w:rFonts w:eastAsiaTheme="minorEastAsia"/>
          <w:color w:val="000000" w:themeColor="text1"/>
          <w:lang w:eastAsia="en-US"/>
        </w:rPr>
        <w:t>“</w:t>
      </w:r>
      <w:r>
        <w:rPr>
          <w:rFonts w:eastAsiaTheme="minorEastAsia"/>
          <w:color w:val="000000" w:themeColor="text1"/>
          <w:lang w:eastAsia="en-US"/>
        </w:rPr>
        <w:t>П</w:t>
      </w:r>
      <w:r w:rsidRPr="00AA45FA">
        <w:rPr>
          <w:rFonts w:eastAsiaTheme="minorEastAsia"/>
          <w:color w:val="000000" w:themeColor="text1"/>
          <w:lang w:eastAsia="en-US"/>
        </w:rPr>
        <w:t>ро Національний банк</w:t>
      </w:r>
      <w:r>
        <w:rPr>
          <w:rFonts w:eastAsiaTheme="minorEastAsia"/>
          <w:color w:val="000000" w:themeColor="text1"/>
          <w:lang w:eastAsia="en-US"/>
        </w:rPr>
        <w:t xml:space="preserve"> України</w:t>
      </w:r>
      <w:r w:rsidRPr="00AA45FA">
        <w:rPr>
          <w:rFonts w:eastAsiaTheme="minorEastAsia"/>
          <w:color w:val="000000" w:themeColor="text1"/>
          <w:lang w:eastAsia="en-US"/>
        </w:rPr>
        <w:t xml:space="preserve">”, статті 39 Закону </w:t>
      </w:r>
      <w:r w:rsidRPr="002D05DC">
        <w:rPr>
          <w:rFonts w:eastAsiaTheme="minorEastAsia"/>
          <w:color w:val="000000" w:themeColor="text1"/>
          <w:lang w:eastAsia="en-US"/>
        </w:rPr>
        <w:t>України “Про фінансові послуги та фінансові компанії”, з метою забезпечення проведення розрахунку достатності власного капіталу</w:t>
      </w:r>
      <w:r w:rsidR="00410EC0" w:rsidRPr="002D05DC">
        <w:rPr>
          <w:b/>
        </w:rPr>
        <w:t xml:space="preserve"> </w:t>
      </w:r>
      <w:r w:rsidRPr="002D05DC">
        <w:t xml:space="preserve">фінансових компаній </w:t>
      </w:r>
      <w:r w:rsidR="00410EC0" w:rsidRPr="002D05DC">
        <w:t>Правління Національного банку України</w:t>
      </w:r>
      <w:r w:rsidR="00410EC0" w:rsidRPr="002D05DC">
        <w:rPr>
          <w:b/>
        </w:rPr>
        <w:t xml:space="preserve"> постановляє:</w:t>
      </w:r>
    </w:p>
    <w:p w14:paraId="26A2FCA0" w14:textId="22770244" w:rsidR="00410EC0" w:rsidRPr="002D05DC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2D05DC">
        <w:t>1. </w:t>
      </w:r>
      <w:r w:rsidR="00AA45FA" w:rsidRPr="002D05DC">
        <w:rPr>
          <w:rFonts w:eastAsiaTheme="minorEastAsia"/>
          <w:noProof/>
          <w:color w:val="000000" w:themeColor="text1"/>
          <w:lang w:eastAsia="en-US"/>
        </w:rPr>
        <w:t>Постанову Правління Національного банку України від 27 грудня 2023 року № 192 “Про затвердження Положення про пруденційні вимоги до фінансових компаній” після пункту 2</w:t>
      </w:r>
      <w:r w:rsidR="00C642D8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C642D8" w:rsidRPr="002D05DC">
        <w:rPr>
          <w:rFonts w:eastAsiaTheme="minorEastAsia"/>
          <w:noProof/>
          <w:color w:val="000000" w:themeColor="text1"/>
          <w:lang w:eastAsia="en-US"/>
        </w:rPr>
        <w:t>доповнити</w:t>
      </w:r>
      <w:r w:rsidR="00AA45FA" w:rsidRPr="002D05DC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2D05DC" w:rsidRPr="002D05DC">
        <w:rPr>
          <w:rFonts w:eastAsiaTheme="minorEastAsia"/>
          <w:noProof/>
          <w:color w:val="000000" w:themeColor="text1"/>
          <w:lang w:eastAsia="en-US"/>
        </w:rPr>
        <w:t>трьома</w:t>
      </w:r>
      <w:r w:rsidR="003F29B4" w:rsidRPr="002D05DC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7D7350" w:rsidRPr="002D05DC">
        <w:rPr>
          <w:rFonts w:eastAsiaTheme="minorEastAsia"/>
          <w:noProof/>
          <w:color w:val="000000" w:themeColor="text1"/>
          <w:lang w:eastAsia="en-US"/>
        </w:rPr>
        <w:t xml:space="preserve">новими </w:t>
      </w:r>
      <w:r w:rsidR="003F29B4" w:rsidRPr="002D05DC">
        <w:rPr>
          <w:rFonts w:eastAsiaTheme="minorEastAsia"/>
          <w:noProof/>
          <w:color w:val="000000" w:themeColor="text1"/>
          <w:lang w:eastAsia="en-US"/>
        </w:rPr>
        <w:t>пункта</w:t>
      </w:r>
      <w:r w:rsidR="00AA45FA" w:rsidRPr="002D05DC">
        <w:rPr>
          <w:rFonts w:eastAsiaTheme="minorEastAsia"/>
          <w:noProof/>
          <w:color w:val="000000" w:themeColor="text1"/>
          <w:lang w:eastAsia="en-US"/>
        </w:rPr>
        <w:t>м</w:t>
      </w:r>
      <w:r w:rsidR="003F29B4" w:rsidRPr="002D05DC">
        <w:rPr>
          <w:rFonts w:eastAsiaTheme="minorEastAsia"/>
          <w:noProof/>
          <w:color w:val="000000" w:themeColor="text1"/>
          <w:lang w:eastAsia="en-US"/>
        </w:rPr>
        <w:t>и</w:t>
      </w:r>
      <w:r w:rsidR="00AA45FA" w:rsidRPr="002D05DC">
        <w:rPr>
          <w:rFonts w:eastAsiaTheme="minorEastAsia"/>
          <w:noProof/>
          <w:color w:val="000000" w:themeColor="text1"/>
          <w:lang w:eastAsia="en-US"/>
        </w:rPr>
        <w:t xml:space="preserve"> 2</w:t>
      </w:r>
      <w:r w:rsidR="00AA45FA" w:rsidRPr="002D05DC">
        <w:rPr>
          <w:rFonts w:eastAsiaTheme="minorEastAsia"/>
          <w:noProof/>
          <w:color w:val="000000" w:themeColor="text1"/>
          <w:vertAlign w:val="superscript"/>
          <w:lang w:eastAsia="en-US"/>
        </w:rPr>
        <w:t>1</w:t>
      </w:r>
      <w:r w:rsidR="003F29B4" w:rsidRPr="002D05DC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2D05DC" w:rsidRPr="002D05DC">
        <w:rPr>
          <w:rFonts w:eastAsiaTheme="minorEastAsia"/>
          <w:noProof/>
          <w:color w:val="000000" w:themeColor="text1"/>
          <w:lang w:eastAsia="en-US"/>
        </w:rPr>
        <w:t>–</w:t>
      </w:r>
      <w:r w:rsidR="003F29B4" w:rsidRPr="002D05DC">
        <w:rPr>
          <w:rFonts w:eastAsiaTheme="minorEastAsia"/>
          <w:noProof/>
          <w:color w:val="000000" w:themeColor="text1"/>
          <w:lang w:eastAsia="en-US"/>
        </w:rPr>
        <w:t xml:space="preserve"> 2</w:t>
      </w:r>
      <w:r w:rsidR="002D05DC" w:rsidRPr="002D05DC">
        <w:rPr>
          <w:rFonts w:eastAsiaTheme="minorEastAsia"/>
          <w:noProof/>
          <w:color w:val="000000" w:themeColor="text1"/>
          <w:vertAlign w:val="superscript"/>
          <w:lang w:eastAsia="en-US"/>
        </w:rPr>
        <w:t>3</w:t>
      </w:r>
      <w:r w:rsidR="003F29B4" w:rsidRPr="002D05DC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AA45FA" w:rsidRPr="002D05DC">
        <w:rPr>
          <w:rFonts w:eastAsiaTheme="minorEastAsia"/>
          <w:noProof/>
          <w:color w:val="000000" w:themeColor="text1"/>
          <w:lang w:eastAsia="en-US"/>
        </w:rPr>
        <w:t>такого змісту:</w:t>
      </w:r>
    </w:p>
    <w:p w14:paraId="55C250C1" w14:textId="11F78009" w:rsidR="00AA45FA" w:rsidRPr="002D05DC" w:rsidRDefault="00AA45FA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2D05DC">
        <w:rPr>
          <w:rFonts w:eastAsiaTheme="minorEastAsia"/>
          <w:noProof/>
          <w:color w:val="000000" w:themeColor="text1"/>
          <w:lang w:eastAsia="en-US"/>
        </w:rPr>
        <w:t>“2</w:t>
      </w:r>
      <w:r w:rsidRPr="002D05DC">
        <w:rPr>
          <w:rFonts w:eastAsiaTheme="minorEastAsia"/>
          <w:noProof/>
          <w:color w:val="000000" w:themeColor="text1"/>
          <w:vertAlign w:val="superscript"/>
          <w:lang w:eastAsia="en-US"/>
        </w:rPr>
        <w:t>1</w:t>
      </w:r>
      <w:r w:rsidRPr="002D05DC">
        <w:rPr>
          <w:rFonts w:eastAsiaTheme="minorEastAsia"/>
          <w:noProof/>
          <w:color w:val="000000" w:themeColor="text1"/>
          <w:lang w:eastAsia="en-US"/>
        </w:rPr>
        <w:t xml:space="preserve">. </w:t>
      </w:r>
      <w:r w:rsidR="003F29B4" w:rsidRPr="002D05DC">
        <w:rPr>
          <w:rFonts w:eastAsiaTheme="minorEastAsia"/>
          <w:noProof/>
          <w:color w:val="000000" w:themeColor="text1"/>
          <w:lang w:eastAsia="en-US"/>
        </w:rPr>
        <w:t>Фінансові компанії до 30 вересня 2026 року зобов’язані:</w:t>
      </w:r>
    </w:p>
    <w:p w14:paraId="1AA0D2A8" w14:textId="5B0D1F7A" w:rsidR="003F29B4" w:rsidRPr="002D05DC" w:rsidRDefault="003F29B4" w:rsidP="003F29B4">
      <w:pPr>
        <w:spacing w:before="240" w:after="240"/>
        <w:ind w:firstLine="567"/>
      </w:pPr>
      <w:r w:rsidRPr="002D05DC">
        <w:t>1) виконувати пруденційні вимоги щодо достатності власного капіталу, визначені в пункт</w:t>
      </w:r>
      <w:r w:rsidR="00EC5A90">
        <w:t>і</w:t>
      </w:r>
      <w:r w:rsidRPr="002D05DC">
        <w:t xml:space="preserve"> 12 </w:t>
      </w:r>
      <w:r w:rsidRPr="002D05DC">
        <w:rPr>
          <w:rFonts w:eastAsiaTheme="minorEastAsia"/>
          <w:noProof/>
          <w:color w:val="000000" w:themeColor="text1"/>
          <w:lang w:eastAsia="en-US"/>
        </w:rPr>
        <w:t>Положення</w:t>
      </w:r>
      <w:r w:rsidRPr="002D05DC">
        <w:t xml:space="preserve">, без урахування вимог абзацу першого </w:t>
      </w:r>
      <w:r w:rsidR="007D7350">
        <w:t xml:space="preserve">цього </w:t>
      </w:r>
      <w:r w:rsidRPr="002D05DC">
        <w:t>пункту щодо зменшення розміру власного капіталу на відрахування, визначені в пункті 13 Положення;</w:t>
      </w:r>
    </w:p>
    <w:p w14:paraId="671A5DA5" w14:textId="14027110" w:rsidR="006D0128" w:rsidRPr="001546D6" w:rsidRDefault="003F29B4" w:rsidP="007C1731">
      <w:pPr>
        <w:ind w:firstLine="567"/>
      </w:pPr>
      <w:r w:rsidRPr="002D05DC">
        <w:t>2) </w:t>
      </w:r>
      <w:r w:rsidR="001F3BCB" w:rsidRPr="001F3BCB">
        <w:t>станом на перше число кожного місяця</w:t>
      </w:r>
      <w:r w:rsidRPr="002D05DC">
        <w:t xml:space="preserve"> здійснювати тестовий розрахунок пруденційної вимоги щодо достатності</w:t>
      </w:r>
      <w:r w:rsidR="00C642D8">
        <w:t xml:space="preserve"> </w:t>
      </w:r>
      <w:r w:rsidRPr="002D05DC">
        <w:t xml:space="preserve">власного капіталу шляхом зменшення </w:t>
      </w:r>
      <w:r w:rsidR="008C79B6">
        <w:t xml:space="preserve">його </w:t>
      </w:r>
      <w:r w:rsidRPr="002D05DC">
        <w:t>розміру на відрахування, визначені в пункті 13 Положення</w:t>
      </w:r>
      <w:r w:rsidR="006D0128">
        <w:t>.</w:t>
      </w:r>
      <w:r w:rsidR="00C642D8">
        <w:t xml:space="preserve"> </w:t>
      </w:r>
    </w:p>
    <w:p w14:paraId="26BE4901" w14:textId="28496940" w:rsidR="00CF7038" w:rsidRPr="002D05DC" w:rsidRDefault="00CF7038" w:rsidP="007C1731">
      <w:pPr>
        <w:ind w:firstLine="567"/>
      </w:pPr>
    </w:p>
    <w:p w14:paraId="39764072" w14:textId="3CB827A3" w:rsidR="00CF7038" w:rsidRPr="002D05DC" w:rsidRDefault="004A4A4A" w:rsidP="007C1731">
      <w:pPr>
        <w:ind w:firstLine="567"/>
      </w:pPr>
      <w:r w:rsidRPr="002D05DC">
        <w:t>2</w:t>
      </w:r>
      <w:r w:rsidRPr="002D05DC">
        <w:rPr>
          <w:vertAlign w:val="superscript"/>
        </w:rPr>
        <w:t>2</w:t>
      </w:r>
      <w:r w:rsidRPr="002D05DC">
        <w:t>. </w:t>
      </w:r>
      <w:r w:rsidR="00CF7038" w:rsidRPr="002D05DC">
        <w:t xml:space="preserve">Національний банк </w:t>
      </w:r>
      <w:r w:rsidR="006B629B">
        <w:t xml:space="preserve">України </w:t>
      </w:r>
      <w:r w:rsidR="007D7350" w:rsidRPr="002D05DC">
        <w:t xml:space="preserve"> </w:t>
      </w:r>
      <w:r w:rsidR="00CF7038" w:rsidRPr="002D05DC">
        <w:t>не складає документа, в якому зафіксовано порушення</w:t>
      </w:r>
      <w:r w:rsidR="008928D1">
        <w:t>,</w:t>
      </w:r>
      <w:r w:rsidR="00CF7038" w:rsidRPr="002D05DC">
        <w:t xml:space="preserve"> та не застосовує заходи впливу до фінансової компанії у разі виявлення помилок, допущених при здійсненні</w:t>
      </w:r>
      <w:r w:rsidR="007C4FDA">
        <w:t xml:space="preserve"> нею відповідно до пункту 2</w:t>
      </w:r>
      <w:r w:rsidR="007C4FDA" w:rsidRPr="007C4FDA">
        <w:rPr>
          <w:vertAlign w:val="superscript"/>
        </w:rPr>
        <w:t>1</w:t>
      </w:r>
      <w:r w:rsidR="00CF7038" w:rsidRPr="002D05DC">
        <w:t xml:space="preserve"> </w:t>
      </w:r>
      <w:r w:rsidR="007C4FDA">
        <w:t xml:space="preserve">цієї постанови </w:t>
      </w:r>
      <w:r w:rsidR="00CF7038" w:rsidRPr="002D05DC">
        <w:t xml:space="preserve">тестового розрахунку пруденційної вимоги щодо достатності власного капіталу шляхом зменшення </w:t>
      </w:r>
      <w:r w:rsidR="008928D1">
        <w:t xml:space="preserve">його </w:t>
      </w:r>
      <w:r w:rsidR="00CF7038" w:rsidRPr="002D05DC">
        <w:t>розміру на відрахування, визначені в пункті 13 Положення.</w:t>
      </w:r>
    </w:p>
    <w:p w14:paraId="089322AB" w14:textId="7FD57439" w:rsidR="002D05DC" w:rsidRPr="002D05DC" w:rsidRDefault="002D05DC" w:rsidP="002D05DC">
      <w:pPr>
        <w:spacing w:before="240" w:after="240"/>
        <w:ind w:firstLine="567"/>
      </w:pPr>
      <w:r w:rsidRPr="002D05DC">
        <w:t>2</w:t>
      </w:r>
      <w:r w:rsidRPr="002D05DC">
        <w:rPr>
          <w:vertAlign w:val="superscript"/>
        </w:rPr>
        <w:t>3</w:t>
      </w:r>
      <w:r w:rsidRPr="002D05DC">
        <w:t>. Фінансові компанії з 01 жовтня 2026 року зобов’язані виконувати пруденційні вимоги щодо достатності власного капіталу, визначені в пункт</w:t>
      </w:r>
      <w:r w:rsidR="00584B7B">
        <w:t>і</w:t>
      </w:r>
      <w:r w:rsidRPr="002D05DC">
        <w:t xml:space="preserve"> 12 </w:t>
      </w:r>
      <w:r w:rsidRPr="002D05DC">
        <w:lastRenderedPageBreak/>
        <w:t xml:space="preserve">Положення, з урахуванням вимог щодо зменшення </w:t>
      </w:r>
      <w:r w:rsidR="008046A2">
        <w:t xml:space="preserve">розміру </w:t>
      </w:r>
      <w:r w:rsidRPr="002D05DC">
        <w:t>власного капіталу на відрахування, визначені в пункті 13</w:t>
      </w:r>
      <w:r w:rsidR="006D0128">
        <w:t xml:space="preserve"> Положення</w:t>
      </w:r>
      <w:r w:rsidRPr="002D05DC">
        <w:t>.”</w:t>
      </w:r>
      <w:r w:rsidR="007C4FDA">
        <w:t>.</w:t>
      </w:r>
    </w:p>
    <w:p w14:paraId="0FA5B804" w14:textId="77777777" w:rsidR="00410EC0" w:rsidRPr="002D05DC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2D05DC">
        <w:rPr>
          <w:rFonts w:eastAsiaTheme="minorEastAsia"/>
          <w:noProof/>
          <w:color w:val="000000" w:themeColor="text1"/>
          <w:lang w:eastAsia="en-US"/>
        </w:rPr>
        <w:t>2. </w:t>
      </w:r>
      <w:r w:rsidR="002D05DC"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фінансових компаній інформацію про прийняття цієї постанови</w:t>
      </w:r>
      <w:r w:rsidRPr="002D05DC">
        <w:rPr>
          <w:rFonts w:eastAsiaTheme="minorEastAsia"/>
          <w:noProof/>
          <w:color w:val="000000" w:themeColor="text1"/>
          <w:lang w:eastAsia="en-US"/>
        </w:rPr>
        <w:t>.</w:t>
      </w:r>
    </w:p>
    <w:p w14:paraId="63912647" w14:textId="77777777" w:rsidR="00410EC0" w:rsidRDefault="00410EC0" w:rsidP="002D05DC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3. </w:t>
      </w:r>
      <w:r w:rsidR="002D05DC">
        <w:t>Постанова набирає чинності з дня, наступного за днем її офіційного опублікування</w:t>
      </w:r>
      <w:r>
        <w:rPr>
          <w:rFonts w:eastAsiaTheme="minorEastAsia"/>
          <w:noProof/>
          <w:color w:val="000000" w:themeColor="text1"/>
          <w:lang w:eastAsia="en-US"/>
        </w:rPr>
        <w:t>.</w:t>
      </w:r>
    </w:p>
    <w:p w14:paraId="52764DCE" w14:textId="77777777" w:rsidR="00410EC0" w:rsidRDefault="00410EC0" w:rsidP="00410EC0">
      <w:pPr>
        <w:pStyle w:val="af3"/>
        <w:spacing w:before="240" w:after="120"/>
        <w:ind w:left="0" w:firstLine="567"/>
        <w:rPr>
          <w:rFonts w:eastAsiaTheme="minorEastAsia"/>
          <w:noProof/>
          <w:color w:val="000000" w:themeColor="text1"/>
          <w:lang w:eastAsia="en-US"/>
        </w:rPr>
      </w:pPr>
    </w:p>
    <w:p w14:paraId="1F93B3C6" w14:textId="77777777" w:rsidR="00410EC0" w:rsidRPr="00E52A5D" w:rsidRDefault="00410EC0" w:rsidP="00410EC0">
      <w:pPr>
        <w:spacing w:after="120"/>
        <w:rPr>
          <w:lang w:val="ru-RU"/>
        </w:rPr>
      </w:pPr>
    </w:p>
    <w:p w14:paraId="006487E7" w14:textId="77777777" w:rsidR="00410EC0" w:rsidRPr="00CD0CD4" w:rsidRDefault="00410EC0" w:rsidP="00410EC0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CD0CD4" w14:paraId="521C94A7" w14:textId="77777777" w:rsidTr="000F60CD">
        <w:tc>
          <w:tcPr>
            <w:tcW w:w="5387" w:type="dxa"/>
            <w:vAlign w:val="bottom"/>
          </w:tcPr>
          <w:p w14:paraId="2BBE5BA5" w14:textId="77777777" w:rsidR="00410EC0" w:rsidRPr="00CD0CD4" w:rsidRDefault="002D05DC" w:rsidP="002D05DC">
            <w:pPr>
              <w:autoSpaceDE w:val="0"/>
              <w:autoSpaceDN w:val="0"/>
              <w:ind w:left="-111"/>
              <w:jc w:val="left"/>
            </w:pPr>
            <w:r>
              <w:t>Голова</w:t>
            </w:r>
          </w:p>
        </w:tc>
        <w:tc>
          <w:tcPr>
            <w:tcW w:w="4252" w:type="dxa"/>
            <w:vAlign w:val="bottom"/>
          </w:tcPr>
          <w:p w14:paraId="40CEA1A9" w14:textId="77777777" w:rsidR="00410EC0" w:rsidRPr="00CD0CD4" w:rsidRDefault="002D05DC" w:rsidP="002D05DC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>
              <w:t>Андрій ПИШНИЙ</w:t>
            </w:r>
          </w:p>
        </w:tc>
      </w:tr>
    </w:tbl>
    <w:p w14:paraId="2D7FB6B7" w14:textId="77777777" w:rsidR="00410EC0" w:rsidRPr="00CD0CD4" w:rsidRDefault="00410EC0" w:rsidP="00410EC0"/>
    <w:p w14:paraId="1791617A" w14:textId="77777777" w:rsidR="00410EC0" w:rsidRPr="00CD0CD4" w:rsidRDefault="00410EC0" w:rsidP="00410EC0"/>
    <w:p w14:paraId="3F553460" w14:textId="77777777" w:rsidR="00E97A59" w:rsidRPr="002D05DC" w:rsidRDefault="00410EC0" w:rsidP="002D05DC">
      <w:pPr>
        <w:jc w:val="left"/>
      </w:pPr>
      <w:r w:rsidRPr="00CD0CD4">
        <w:t>Інд.</w:t>
      </w:r>
      <w:r w:rsidRPr="00CD0CD4">
        <w:rPr>
          <w:sz w:val="22"/>
          <w:szCs w:val="22"/>
        </w:rPr>
        <w:t xml:space="preserve"> </w:t>
      </w:r>
      <w:r w:rsidR="002D05DC">
        <w:t>33</w:t>
      </w:r>
    </w:p>
    <w:sectPr w:rsidR="00E97A59" w:rsidRPr="002D05DC" w:rsidSect="00B930E3"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03B2C" w14:textId="77777777" w:rsidR="00AB3FA0" w:rsidRDefault="00AB3FA0" w:rsidP="00E53CCD">
      <w:r>
        <w:separator/>
      </w:r>
    </w:p>
  </w:endnote>
  <w:endnote w:type="continuationSeparator" w:id="0">
    <w:p w14:paraId="79022342" w14:textId="77777777" w:rsidR="00AB3FA0" w:rsidRDefault="00AB3FA0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66684" w14:textId="77777777" w:rsidR="00AB3FA0" w:rsidRDefault="00AB3FA0" w:rsidP="00E53CCD">
      <w:r>
        <w:separator/>
      </w:r>
    </w:p>
  </w:footnote>
  <w:footnote w:type="continuationSeparator" w:id="0">
    <w:p w14:paraId="07B8E829" w14:textId="77777777" w:rsidR="00AB3FA0" w:rsidRDefault="00AB3FA0" w:rsidP="00E5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F7E4A"/>
    <w:multiLevelType w:val="hybridMultilevel"/>
    <w:tmpl w:val="9F0E73B6"/>
    <w:lvl w:ilvl="0" w:tplc="ACB67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FA"/>
    <w:rsid w:val="000064FA"/>
    <w:rsid w:val="000111CC"/>
    <w:rsid w:val="00015FDE"/>
    <w:rsid w:val="00016403"/>
    <w:rsid w:val="000378F7"/>
    <w:rsid w:val="0003793C"/>
    <w:rsid w:val="000419CD"/>
    <w:rsid w:val="00043A7C"/>
    <w:rsid w:val="000506D8"/>
    <w:rsid w:val="00063480"/>
    <w:rsid w:val="000713E8"/>
    <w:rsid w:val="000723B2"/>
    <w:rsid w:val="0007662B"/>
    <w:rsid w:val="00083557"/>
    <w:rsid w:val="00097B89"/>
    <w:rsid w:val="000B2990"/>
    <w:rsid w:val="000B3964"/>
    <w:rsid w:val="000B5ADB"/>
    <w:rsid w:val="000C3F58"/>
    <w:rsid w:val="000D44E2"/>
    <w:rsid w:val="000E4B44"/>
    <w:rsid w:val="000E700F"/>
    <w:rsid w:val="00100163"/>
    <w:rsid w:val="00100A4D"/>
    <w:rsid w:val="001025EF"/>
    <w:rsid w:val="00102C1C"/>
    <w:rsid w:val="00105B5C"/>
    <w:rsid w:val="001068E6"/>
    <w:rsid w:val="00134A0B"/>
    <w:rsid w:val="001546D6"/>
    <w:rsid w:val="001652CD"/>
    <w:rsid w:val="001740C0"/>
    <w:rsid w:val="00190E1A"/>
    <w:rsid w:val="00192423"/>
    <w:rsid w:val="001A16FA"/>
    <w:rsid w:val="001A42D2"/>
    <w:rsid w:val="001D3A55"/>
    <w:rsid w:val="001D487A"/>
    <w:rsid w:val="001E2732"/>
    <w:rsid w:val="001E5DB4"/>
    <w:rsid w:val="001F3BCB"/>
    <w:rsid w:val="001F591C"/>
    <w:rsid w:val="001F64D4"/>
    <w:rsid w:val="001F71E8"/>
    <w:rsid w:val="00204F22"/>
    <w:rsid w:val="00207DA9"/>
    <w:rsid w:val="0021268A"/>
    <w:rsid w:val="00213504"/>
    <w:rsid w:val="00233146"/>
    <w:rsid w:val="0023651D"/>
    <w:rsid w:val="00241373"/>
    <w:rsid w:val="002453A3"/>
    <w:rsid w:val="00253BF9"/>
    <w:rsid w:val="00257FAC"/>
    <w:rsid w:val="00264983"/>
    <w:rsid w:val="00272B80"/>
    <w:rsid w:val="002846E4"/>
    <w:rsid w:val="002A172E"/>
    <w:rsid w:val="002A7DE0"/>
    <w:rsid w:val="002B4D27"/>
    <w:rsid w:val="002C677D"/>
    <w:rsid w:val="002C7B4D"/>
    <w:rsid w:val="002D05DC"/>
    <w:rsid w:val="002D171B"/>
    <w:rsid w:val="002D1790"/>
    <w:rsid w:val="002D5205"/>
    <w:rsid w:val="002D52F9"/>
    <w:rsid w:val="002D71D7"/>
    <w:rsid w:val="002E023A"/>
    <w:rsid w:val="002F33F0"/>
    <w:rsid w:val="002F660B"/>
    <w:rsid w:val="0031386A"/>
    <w:rsid w:val="00316FF3"/>
    <w:rsid w:val="003255E5"/>
    <w:rsid w:val="0033133D"/>
    <w:rsid w:val="00337C05"/>
    <w:rsid w:val="00356E34"/>
    <w:rsid w:val="00357676"/>
    <w:rsid w:val="00364833"/>
    <w:rsid w:val="00371783"/>
    <w:rsid w:val="0038167B"/>
    <w:rsid w:val="0038385E"/>
    <w:rsid w:val="00393D33"/>
    <w:rsid w:val="003A383B"/>
    <w:rsid w:val="003B4F96"/>
    <w:rsid w:val="003C3282"/>
    <w:rsid w:val="003C3985"/>
    <w:rsid w:val="003C421E"/>
    <w:rsid w:val="003C7337"/>
    <w:rsid w:val="003D19A3"/>
    <w:rsid w:val="003D2FC8"/>
    <w:rsid w:val="003F29B4"/>
    <w:rsid w:val="003F4317"/>
    <w:rsid w:val="003F5FC3"/>
    <w:rsid w:val="003F6E10"/>
    <w:rsid w:val="00401EDB"/>
    <w:rsid w:val="00404C93"/>
    <w:rsid w:val="00407877"/>
    <w:rsid w:val="00410EC0"/>
    <w:rsid w:val="00410FA1"/>
    <w:rsid w:val="00415529"/>
    <w:rsid w:val="00420B17"/>
    <w:rsid w:val="004318B3"/>
    <w:rsid w:val="004414F7"/>
    <w:rsid w:val="00455B45"/>
    <w:rsid w:val="00472E7B"/>
    <w:rsid w:val="00484152"/>
    <w:rsid w:val="00494BE0"/>
    <w:rsid w:val="00494DB2"/>
    <w:rsid w:val="004A4A4A"/>
    <w:rsid w:val="004A7F75"/>
    <w:rsid w:val="004B4733"/>
    <w:rsid w:val="004D7E2E"/>
    <w:rsid w:val="004E0515"/>
    <w:rsid w:val="004E22E2"/>
    <w:rsid w:val="004F5AE4"/>
    <w:rsid w:val="004F62FC"/>
    <w:rsid w:val="004F6BC9"/>
    <w:rsid w:val="00523C13"/>
    <w:rsid w:val="00523E3F"/>
    <w:rsid w:val="005257C2"/>
    <w:rsid w:val="00537D4B"/>
    <w:rsid w:val="00540210"/>
    <w:rsid w:val="00542533"/>
    <w:rsid w:val="005537EC"/>
    <w:rsid w:val="005624B6"/>
    <w:rsid w:val="00563A19"/>
    <w:rsid w:val="00563AC1"/>
    <w:rsid w:val="00565AF4"/>
    <w:rsid w:val="0057237F"/>
    <w:rsid w:val="00573FBD"/>
    <w:rsid w:val="00577402"/>
    <w:rsid w:val="00584B7B"/>
    <w:rsid w:val="00586AA2"/>
    <w:rsid w:val="00591298"/>
    <w:rsid w:val="005A0F4B"/>
    <w:rsid w:val="005A1D3C"/>
    <w:rsid w:val="005A2BBA"/>
    <w:rsid w:val="005A3F34"/>
    <w:rsid w:val="005A6B99"/>
    <w:rsid w:val="005B2D03"/>
    <w:rsid w:val="005C5CBF"/>
    <w:rsid w:val="005C70BE"/>
    <w:rsid w:val="005D2F3D"/>
    <w:rsid w:val="005F229D"/>
    <w:rsid w:val="005F6418"/>
    <w:rsid w:val="00610F11"/>
    <w:rsid w:val="0061599B"/>
    <w:rsid w:val="0063071E"/>
    <w:rsid w:val="0063271C"/>
    <w:rsid w:val="00640612"/>
    <w:rsid w:val="00653558"/>
    <w:rsid w:val="00655864"/>
    <w:rsid w:val="006631DE"/>
    <w:rsid w:val="00670C95"/>
    <w:rsid w:val="00681460"/>
    <w:rsid w:val="00684225"/>
    <w:rsid w:val="006871CD"/>
    <w:rsid w:val="006A0AE1"/>
    <w:rsid w:val="006B2748"/>
    <w:rsid w:val="006B449D"/>
    <w:rsid w:val="006B629B"/>
    <w:rsid w:val="006C4176"/>
    <w:rsid w:val="006C66EF"/>
    <w:rsid w:val="006D0128"/>
    <w:rsid w:val="006D2617"/>
    <w:rsid w:val="006D7C6D"/>
    <w:rsid w:val="006E2386"/>
    <w:rsid w:val="006F3CFB"/>
    <w:rsid w:val="0070152E"/>
    <w:rsid w:val="00702896"/>
    <w:rsid w:val="0071789F"/>
    <w:rsid w:val="00743682"/>
    <w:rsid w:val="007437E9"/>
    <w:rsid w:val="007476B2"/>
    <w:rsid w:val="007802D9"/>
    <w:rsid w:val="00783AF2"/>
    <w:rsid w:val="00790DCB"/>
    <w:rsid w:val="0079324A"/>
    <w:rsid w:val="007A038B"/>
    <w:rsid w:val="007A6609"/>
    <w:rsid w:val="007C1731"/>
    <w:rsid w:val="007C4FDA"/>
    <w:rsid w:val="007D7350"/>
    <w:rsid w:val="007E2E2F"/>
    <w:rsid w:val="007F24D1"/>
    <w:rsid w:val="007F514C"/>
    <w:rsid w:val="00802988"/>
    <w:rsid w:val="008046A2"/>
    <w:rsid w:val="008135AE"/>
    <w:rsid w:val="00834346"/>
    <w:rsid w:val="00850F68"/>
    <w:rsid w:val="008555CA"/>
    <w:rsid w:val="00866993"/>
    <w:rsid w:val="00874366"/>
    <w:rsid w:val="00875970"/>
    <w:rsid w:val="008928D1"/>
    <w:rsid w:val="008A58E9"/>
    <w:rsid w:val="008A704D"/>
    <w:rsid w:val="008B014D"/>
    <w:rsid w:val="008B164A"/>
    <w:rsid w:val="008C2498"/>
    <w:rsid w:val="008C79B6"/>
    <w:rsid w:val="008D10FD"/>
    <w:rsid w:val="008D122F"/>
    <w:rsid w:val="00904F17"/>
    <w:rsid w:val="00961672"/>
    <w:rsid w:val="0097288F"/>
    <w:rsid w:val="00984B02"/>
    <w:rsid w:val="009943E9"/>
    <w:rsid w:val="00994CD4"/>
    <w:rsid w:val="00995A8D"/>
    <w:rsid w:val="009A3736"/>
    <w:rsid w:val="009A4DE6"/>
    <w:rsid w:val="009B7F4D"/>
    <w:rsid w:val="009C717F"/>
    <w:rsid w:val="009D6D44"/>
    <w:rsid w:val="009F5312"/>
    <w:rsid w:val="00A04D70"/>
    <w:rsid w:val="00A06ADB"/>
    <w:rsid w:val="00A104FB"/>
    <w:rsid w:val="00A23E04"/>
    <w:rsid w:val="00A47EF0"/>
    <w:rsid w:val="00A50DC0"/>
    <w:rsid w:val="00A51C39"/>
    <w:rsid w:val="00A708BE"/>
    <w:rsid w:val="00A72446"/>
    <w:rsid w:val="00A72F06"/>
    <w:rsid w:val="00A7453F"/>
    <w:rsid w:val="00A77FFD"/>
    <w:rsid w:val="00A862D9"/>
    <w:rsid w:val="00AA45FA"/>
    <w:rsid w:val="00AA726B"/>
    <w:rsid w:val="00AB1C0F"/>
    <w:rsid w:val="00AB28F1"/>
    <w:rsid w:val="00AB3FA0"/>
    <w:rsid w:val="00AC47B6"/>
    <w:rsid w:val="00AE16F0"/>
    <w:rsid w:val="00AF59AC"/>
    <w:rsid w:val="00B12A6F"/>
    <w:rsid w:val="00B24F71"/>
    <w:rsid w:val="00B31892"/>
    <w:rsid w:val="00B332B2"/>
    <w:rsid w:val="00B5752E"/>
    <w:rsid w:val="00B616A5"/>
    <w:rsid w:val="00B66974"/>
    <w:rsid w:val="00B67B26"/>
    <w:rsid w:val="00B77FBC"/>
    <w:rsid w:val="00B85728"/>
    <w:rsid w:val="00B930E3"/>
    <w:rsid w:val="00B93408"/>
    <w:rsid w:val="00BB44AB"/>
    <w:rsid w:val="00BC6419"/>
    <w:rsid w:val="00BE44A7"/>
    <w:rsid w:val="00BE6C11"/>
    <w:rsid w:val="00BF052C"/>
    <w:rsid w:val="00BF0770"/>
    <w:rsid w:val="00BF164D"/>
    <w:rsid w:val="00C21D33"/>
    <w:rsid w:val="00C22D27"/>
    <w:rsid w:val="00C261F6"/>
    <w:rsid w:val="00C36ED6"/>
    <w:rsid w:val="00C41293"/>
    <w:rsid w:val="00C422E3"/>
    <w:rsid w:val="00C4377C"/>
    <w:rsid w:val="00C437A7"/>
    <w:rsid w:val="00C5484D"/>
    <w:rsid w:val="00C56722"/>
    <w:rsid w:val="00C642D8"/>
    <w:rsid w:val="00C65DEC"/>
    <w:rsid w:val="00C742DB"/>
    <w:rsid w:val="00C763A3"/>
    <w:rsid w:val="00C80F5E"/>
    <w:rsid w:val="00C82259"/>
    <w:rsid w:val="00C831BC"/>
    <w:rsid w:val="00C8418C"/>
    <w:rsid w:val="00CB7FE0"/>
    <w:rsid w:val="00CC4754"/>
    <w:rsid w:val="00CD7381"/>
    <w:rsid w:val="00CE3B9F"/>
    <w:rsid w:val="00CF7038"/>
    <w:rsid w:val="00D0057B"/>
    <w:rsid w:val="00D11F25"/>
    <w:rsid w:val="00D1293B"/>
    <w:rsid w:val="00D27113"/>
    <w:rsid w:val="00D31AEC"/>
    <w:rsid w:val="00D33A3D"/>
    <w:rsid w:val="00D34DCC"/>
    <w:rsid w:val="00D445A1"/>
    <w:rsid w:val="00D72491"/>
    <w:rsid w:val="00D74DCE"/>
    <w:rsid w:val="00D842D0"/>
    <w:rsid w:val="00D96228"/>
    <w:rsid w:val="00DC0198"/>
    <w:rsid w:val="00DC1E60"/>
    <w:rsid w:val="00DD106B"/>
    <w:rsid w:val="00DD27F4"/>
    <w:rsid w:val="00DD60CC"/>
    <w:rsid w:val="00DD71CB"/>
    <w:rsid w:val="00DD7886"/>
    <w:rsid w:val="00DE11E4"/>
    <w:rsid w:val="00DF2AEB"/>
    <w:rsid w:val="00E33B0E"/>
    <w:rsid w:val="00E34550"/>
    <w:rsid w:val="00E34A3F"/>
    <w:rsid w:val="00E43E79"/>
    <w:rsid w:val="00E53CB5"/>
    <w:rsid w:val="00E53CCD"/>
    <w:rsid w:val="00E82CDD"/>
    <w:rsid w:val="00E8777E"/>
    <w:rsid w:val="00E97A59"/>
    <w:rsid w:val="00EA1DE4"/>
    <w:rsid w:val="00EA3A24"/>
    <w:rsid w:val="00EC5A90"/>
    <w:rsid w:val="00ED042F"/>
    <w:rsid w:val="00ED5EF3"/>
    <w:rsid w:val="00EE3E8A"/>
    <w:rsid w:val="00F003D3"/>
    <w:rsid w:val="00F03226"/>
    <w:rsid w:val="00F03E32"/>
    <w:rsid w:val="00F31023"/>
    <w:rsid w:val="00F332C0"/>
    <w:rsid w:val="00F42AAB"/>
    <w:rsid w:val="00F42E75"/>
    <w:rsid w:val="00F52D16"/>
    <w:rsid w:val="00F63BD9"/>
    <w:rsid w:val="00F6694C"/>
    <w:rsid w:val="00F96F18"/>
    <w:rsid w:val="00FA7B67"/>
    <w:rsid w:val="00FC04CD"/>
    <w:rsid w:val="00FC60CE"/>
    <w:rsid w:val="00FC6F50"/>
    <w:rsid w:val="00FE6607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50EC3"/>
  <w15:docId w15:val="{BD0A330A-D24D-4762-AD38-F054B1FC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494DB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94DB2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494DB2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94DB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494DB2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a">
    <w:name w:val="Revision"/>
    <w:hidden/>
    <w:uiPriority w:val="99"/>
    <w:semiHidden/>
    <w:rsid w:val="00494DB2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styleId="afb">
    <w:name w:val="FollowedHyperlink"/>
    <w:basedOn w:val="a0"/>
    <w:uiPriority w:val="99"/>
    <w:semiHidden/>
    <w:unhideWhenUsed/>
    <w:rsid w:val="00DD7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5_&#1055;&#1086;&#1089;&#1090;&#1072;&#1085;&#1086;&#1074;&#1072;%20&#1055;&#1088;&#1072;&#1074;&#1083;&#1110;&#1085;&#1085;&#1103;%20&#1053;&#1041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4CC8590-FCDD-4134-8306-1F1DD6F3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05_Постанова Правління НБУ</Template>
  <TotalTime>0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Медведєв Сергій Олегович</dc:creator>
  <cp:lastModifiedBy>Гордієнко Ольга Валентинівна</cp:lastModifiedBy>
  <cp:revision>2</cp:revision>
  <cp:lastPrinted>2023-07-04T07:51:00Z</cp:lastPrinted>
  <dcterms:created xsi:type="dcterms:W3CDTF">2026-03-03T15:20:00Z</dcterms:created>
  <dcterms:modified xsi:type="dcterms:W3CDTF">2026-03-03T15:20:00Z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