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CF91B" w14:textId="77777777" w:rsidR="003A319B" w:rsidRPr="002A5494" w:rsidRDefault="003A319B" w:rsidP="003A319B">
      <w:pPr>
        <w:jc w:val="center"/>
        <w:rPr>
          <w:b/>
        </w:rPr>
      </w:pPr>
      <w:bookmarkStart w:id="0" w:name="_GoBack"/>
      <w:bookmarkEnd w:id="0"/>
      <w:r w:rsidRPr="002A5494">
        <w:rPr>
          <w:b/>
        </w:rPr>
        <w:t>Порівняльна таблиця</w:t>
      </w:r>
    </w:p>
    <w:p w14:paraId="038D4AC4" w14:textId="464C74A4" w:rsidR="003A319B" w:rsidRPr="002A5494" w:rsidRDefault="003A319B" w:rsidP="00B0775C">
      <w:pPr>
        <w:jc w:val="center"/>
      </w:pPr>
      <w:r w:rsidRPr="002A5494">
        <w:t>до про</w:t>
      </w:r>
      <w:r w:rsidR="00D3309F" w:rsidRPr="002A5494">
        <w:t>є</w:t>
      </w:r>
      <w:r w:rsidRPr="002A5494">
        <w:t xml:space="preserve">кту </w:t>
      </w:r>
      <w:r w:rsidR="006B4B0C" w:rsidRPr="002A5494">
        <w:t>постанови</w:t>
      </w:r>
      <w:r w:rsidRPr="002A5494">
        <w:t xml:space="preserve"> Правління Національного банку України </w:t>
      </w:r>
    </w:p>
    <w:p w14:paraId="5E79FF64" w14:textId="2DCAC8FC" w:rsidR="003A319B" w:rsidRPr="002A5494" w:rsidRDefault="006D26FE" w:rsidP="00B0775C">
      <w:pPr>
        <w:jc w:val="center"/>
      </w:pPr>
      <w:r w:rsidRPr="002A5494">
        <w:t>“</w:t>
      </w:r>
      <w:r w:rsidR="00CD70E6" w:rsidRPr="000328A6">
        <w:rPr>
          <w:rFonts w:eastAsiaTheme="minorEastAsia"/>
          <w:color w:val="000000" w:themeColor="text1"/>
        </w:rPr>
        <w:t xml:space="preserve">Про </w:t>
      </w:r>
      <w:r w:rsidR="00CD70E6">
        <w:rPr>
          <w:rFonts w:eastAsiaTheme="minorEastAsia"/>
          <w:color w:val="000000" w:themeColor="text1"/>
        </w:rPr>
        <w:t xml:space="preserve">затвердження Положення про </w:t>
      </w:r>
      <w:r w:rsidR="00CD70E6" w:rsidRPr="000328A6">
        <w:rPr>
          <w:rFonts w:eastAsiaTheme="minorEastAsia"/>
          <w:color w:val="000000" w:themeColor="text1"/>
        </w:rPr>
        <w:t xml:space="preserve">критичну </w:t>
      </w:r>
      <w:r w:rsidR="00CD70E6">
        <w:rPr>
          <w:rFonts w:eastAsiaTheme="minorEastAsia"/>
          <w:color w:val="000000" w:themeColor="text1"/>
        </w:rPr>
        <w:t xml:space="preserve">інформаційну </w:t>
      </w:r>
      <w:r w:rsidR="00CD70E6" w:rsidRPr="000328A6">
        <w:rPr>
          <w:rFonts w:eastAsiaTheme="minorEastAsia"/>
          <w:color w:val="000000" w:themeColor="text1"/>
        </w:rPr>
        <w:t>інфраструктуру фінансового сектору</w:t>
      </w:r>
      <w:r w:rsidR="00CD70E6">
        <w:rPr>
          <w:rFonts w:eastAsiaTheme="minorEastAsia"/>
          <w:color w:val="000000" w:themeColor="text1"/>
        </w:rPr>
        <w:t xml:space="preserve"> та </w:t>
      </w:r>
      <w:r w:rsidR="00D373BF">
        <w:rPr>
          <w:rFonts w:eastAsiaTheme="minorEastAsia"/>
          <w:color w:val="000000" w:themeColor="text1"/>
        </w:rPr>
        <w:t>З</w:t>
      </w:r>
      <w:r w:rsidR="00CD70E6">
        <w:rPr>
          <w:rFonts w:eastAsiaTheme="minorEastAsia"/>
          <w:color w:val="000000" w:themeColor="text1"/>
        </w:rPr>
        <w:t xml:space="preserve">мін до </w:t>
      </w:r>
      <w:r w:rsidR="00CD70E6" w:rsidRPr="009F1B76">
        <w:t>деяких нормативно-правових актів Національного банку України з питань</w:t>
      </w:r>
      <w:r w:rsidR="00CD70E6">
        <w:t xml:space="preserve"> </w:t>
      </w:r>
      <w:r w:rsidR="00CD70E6" w:rsidRPr="009F1B76">
        <w:t>кіберзахисту</w:t>
      </w:r>
      <w:r w:rsidR="00E25CD9" w:rsidRPr="002A5494">
        <w:t>”</w:t>
      </w:r>
      <w:r w:rsidR="003A319B" w:rsidRPr="002A5494">
        <w:t xml:space="preserve"> </w:t>
      </w:r>
    </w:p>
    <w:p w14:paraId="09479665" w14:textId="77777777" w:rsidR="00B0775C" w:rsidRPr="00CB7D6B" w:rsidRDefault="00B0775C" w:rsidP="00B0775C">
      <w:pPr>
        <w:jc w:val="center"/>
        <w:rPr>
          <w:lang w:val="ru-RU"/>
        </w:rPr>
      </w:pPr>
    </w:p>
    <w:tbl>
      <w:tblPr>
        <w:tblStyle w:val="a3"/>
        <w:tblW w:w="0" w:type="auto"/>
        <w:tblLook w:val="04A0" w:firstRow="1" w:lastRow="0" w:firstColumn="1" w:lastColumn="0" w:noHBand="0" w:noVBand="1"/>
      </w:tblPr>
      <w:tblGrid>
        <w:gridCol w:w="7508"/>
        <w:gridCol w:w="7052"/>
      </w:tblGrid>
      <w:tr w:rsidR="00B0775C" w:rsidRPr="002A5494" w14:paraId="43EF6085" w14:textId="77777777" w:rsidTr="00B0775C">
        <w:tc>
          <w:tcPr>
            <w:tcW w:w="7508" w:type="dxa"/>
          </w:tcPr>
          <w:p w14:paraId="1A6145DC" w14:textId="77777777" w:rsidR="00B0775C" w:rsidRPr="002A5494" w:rsidRDefault="00B0775C" w:rsidP="00B0775C">
            <w:pPr>
              <w:jc w:val="center"/>
              <w:rPr>
                <w:b/>
                <w:sz w:val="24"/>
                <w:szCs w:val="24"/>
              </w:rPr>
            </w:pPr>
            <w:r w:rsidRPr="002A5494">
              <w:t>Зміст положення (норми) чинного нормативно-правового акта</w:t>
            </w:r>
          </w:p>
        </w:tc>
        <w:tc>
          <w:tcPr>
            <w:tcW w:w="7052" w:type="dxa"/>
          </w:tcPr>
          <w:p w14:paraId="20C1BFFF" w14:textId="77777777" w:rsidR="00B0775C" w:rsidRPr="002A5494" w:rsidRDefault="00B0775C" w:rsidP="00B0775C">
            <w:pPr>
              <w:jc w:val="center"/>
              <w:rPr>
                <w:b/>
                <w:sz w:val="24"/>
                <w:szCs w:val="24"/>
              </w:rPr>
            </w:pPr>
            <w:r w:rsidRPr="002A5494">
              <w:t>Зміст відповідного положення (норми) проєкту нормативно-правового акта</w:t>
            </w:r>
          </w:p>
        </w:tc>
      </w:tr>
    </w:tbl>
    <w:p w14:paraId="5156A1B6" w14:textId="77777777" w:rsidR="00B0775C" w:rsidRPr="002A5494" w:rsidRDefault="00B0775C">
      <w:pPr>
        <w:rPr>
          <w:sz w:val="4"/>
          <w:szCs w:val="4"/>
        </w:rPr>
      </w:pPr>
    </w:p>
    <w:tbl>
      <w:tblPr>
        <w:tblStyle w:val="a3"/>
        <w:tblW w:w="14596" w:type="dxa"/>
        <w:tblLayout w:type="fixed"/>
        <w:tblLook w:val="04A0" w:firstRow="1" w:lastRow="0" w:firstColumn="1" w:lastColumn="0" w:noHBand="0" w:noVBand="1"/>
      </w:tblPr>
      <w:tblGrid>
        <w:gridCol w:w="7508"/>
        <w:gridCol w:w="7088"/>
      </w:tblGrid>
      <w:tr w:rsidR="003D4B27" w:rsidRPr="00B452A9" w14:paraId="5F091B0B" w14:textId="77777777" w:rsidTr="005D73A1">
        <w:tc>
          <w:tcPr>
            <w:tcW w:w="14596" w:type="dxa"/>
            <w:gridSpan w:val="2"/>
          </w:tcPr>
          <w:p w14:paraId="31A9ED80" w14:textId="77777777" w:rsidR="003D4B27" w:rsidRPr="00CD70E6" w:rsidRDefault="003D4B27" w:rsidP="005D73A1">
            <w:pPr>
              <w:ind w:firstLine="0"/>
              <w:jc w:val="center"/>
              <w:rPr>
                <w:color w:val="auto"/>
                <w:sz w:val="24"/>
                <w:lang w:val="ru-RU"/>
              </w:rPr>
            </w:pPr>
            <w:r w:rsidRPr="00B452A9">
              <w:rPr>
                <w:bCs/>
                <w:color w:val="auto"/>
              </w:rPr>
              <w:t xml:space="preserve">Положення </w:t>
            </w:r>
            <w:r w:rsidRPr="009F1B76">
              <w:rPr>
                <w:rFonts w:eastAsiaTheme="minorEastAsia"/>
                <w:noProof/>
                <w:color w:val="000000" w:themeColor="text1"/>
              </w:rPr>
              <w:t>про захист інформації та кіберзахист учасниками платіжного ринку</w:t>
            </w:r>
            <w:r>
              <w:rPr>
                <w:rFonts w:eastAsiaTheme="minorEastAsia"/>
                <w:noProof/>
                <w:color w:val="000000" w:themeColor="text1"/>
              </w:rPr>
              <w:t xml:space="preserve">, </w:t>
            </w:r>
            <w:r w:rsidRPr="00F24C63">
              <w:rPr>
                <w:rFonts w:eastAsiaTheme="minorEastAsia"/>
                <w:noProof/>
                <w:color w:val="000000" w:themeColor="text1"/>
              </w:rPr>
              <w:t>затверджен</w:t>
            </w:r>
            <w:r>
              <w:rPr>
                <w:rFonts w:eastAsiaTheme="minorEastAsia"/>
                <w:noProof/>
                <w:color w:val="000000" w:themeColor="text1"/>
              </w:rPr>
              <w:t>е</w:t>
            </w:r>
            <w:r w:rsidRPr="00F24C63">
              <w:rPr>
                <w:rFonts w:eastAsiaTheme="minorEastAsia"/>
                <w:noProof/>
                <w:color w:val="000000" w:themeColor="text1"/>
              </w:rPr>
              <w:t xml:space="preserve"> постановою </w:t>
            </w:r>
            <w:r w:rsidRPr="000328A6">
              <w:rPr>
                <w:rFonts w:eastAsiaTheme="minorEastAsia"/>
                <w:noProof/>
                <w:color w:val="000000" w:themeColor="text1"/>
                <w:lang w:val="ru-RU"/>
              </w:rPr>
              <w:t>Правління Національного банку України в</w:t>
            </w:r>
            <w:r w:rsidRPr="000328A6">
              <w:rPr>
                <w:rFonts w:eastAsiaTheme="minorEastAsia"/>
                <w:noProof/>
                <w:color w:val="000000" w:themeColor="text1"/>
              </w:rPr>
              <w:t xml:space="preserve">ід </w:t>
            </w:r>
            <w:r w:rsidRPr="000328A6">
              <w:rPr>
                <w:rFonts w:eastAsiaTheme="minorEastAsia"/>
                <w:noProof/>
                <w:color w:val="000000" w:themeColor="text1"/>
                <w:lang w:val="ru-RU"/>
              </w:rPr>
              <w:t>1</w:t>
            </w:r>
            <w:r>
              <w:rPr>
                <w:rFonts w:eastAsiaTheme="minorEastAsia"/>
                <w:noProof/>
                <w:color w:val="000000" w:themeColor="text1"/>
                <w:lang w:val="ru-RU"/>
              </w:rPr>
              <w:t>9</w:t>
            </w:r>
            <w:r w:rsidRPr="000328A6">
              <w:rPr>
                <w:rFonts w:eastAsiaTheme="minorEastAsia"/>
                <w:noProof/>
                <w:color w:val="000000" w:themeColor="text1"/>
                <w:lang w:val="ru-RU"/>
              </w:rPr>
              <w:t xml:space="preserve"> </w:t>
            </w:r>
            <w:r>
              <w:rPr>
                <w:rFonts w:eastAsiaTheme="minorEastAsia"/>
                <w:noProof/>
                <w:color w:val="000000" w:themeColor="text1"/>
                <w:lang w:val="ru-RU"/>
              </w:rPr>
              <w:t>трав</w:t>
            </w:r>
            <w:r w:rsidRPr="000328A6">
              <w:rPr>
                <w:rFonts w:eastAsiaTheme="minorEastAsia"/>
                <w:noProof/>
                <w:color w:val="000000" w:themeColor="text1"/>
                <w:lang w:val="ru-RU"/>
              </w:rPr>
              <w:t>ня 202</w:t>
            </w:r>
            <w:r>
              <w:rPr>
                <w:rFonts w:eastAsiaTheme="minorEastAsia"/>
                <w:noProof/>
                <w:color w:val="000000" w:themeColor="text1"/>
                <w:lang w:val="ru-RU"/>
              </w:rPr>
              <w:t>1</w:t>
            </w:r>
            <w:r w:rsidRPr="000328A6">
              <w:rPr>
                <w:rFonts w:eastAsiaTheme="minorEastAsia"/>
                <w:noProof/>
                <w:color w:val="000000" w:themeColor="text1"/>
                <w:lang w:val="ru-RU"/>
              </w:rPr>
              <w:t xml:space="preserve"> року № </w:t>
            </w:r>
            <w:r>
              <w:rPr>
                <w:rFonts w:eastAsiaTheme="minorEastAsia"/>
                <w:noProof/>
                <w:color w:val="000000" w:themeColor="text1"/>
                <w:lang w:val="ru-RU"/>
              </w:rPr>
              <w:t>43</w:t>
            </w:r>
            <w:r w:rsidRPr="000328A6">
              <w:rPr>
                <w:rFonts w:eastAsiaTheme="minorEastAsia"/>
                <w:noProof/>
                <w:color w:val="000000" w:themeColor="text1"/>
                <w:lang w:val="ru-RU"/>
              </w:rPr>
              <w:t xml:space="preserve"> (зі змінами)</w:t>
            </w:r>
          </w:p>
        </w:tc>
      </w:tr>
      <w:tr w:rsidR="003D4B27" w:rsidRPr="00B452A9" w14:paraId="6F110613" w14:textId="77777777" w:rsidTr="005D73A1">
        <w:tc>
          <w:tcPr>
            <w:tcW w:w="7508" w:type="dxa"/>
          </w:tcPr>
          <w:p w14:paraId="0D43DB20" w14:textId="77777777" w:rsidR="003D4B27" w:rsidRPr="00B452A9" w:rsidRDefault="003D4B27" w:rsidP="005D73A1">
            <w:pPr>
              <w:jc w:val="center"/>
              <w:rPr>
                <w:strike/>
                <w:color w:val="auto"/>
                <w:shd w:val="clear" w:color="auto" w:fill="FFFFFF"/>
              </w:rPr>
            </w:pPr>
            <w:r w:rsidRPr="00110670">
              <w:rPr>
                <w:bCs/>
                <w:color w:val="auto"/>
                <w:shd w:val="clear" w:color="auto" w:fill="FFFFFF"/>
              </w:rPr>
              <w:t>I. Загальні положення</w:t>
            </w:r>
          </w:p>
        </w:tc>
        <w:tc>
          <w:tcPr>
            <w:tcW w:w="7088" w:type="dxa"/>
          </w:tcPr>
          <w:p w14:paraId="7F39FFA3" w14:textId="77777777" w:rsidR="003D4B27" w:rsidRPr="00B452A9" w:rsidRDefault="003D4B27" w:rsidP="005D73A1">
            <w:pPr>
              <w:ind w:firstLine="462"/>
              <w:jc w:val="center"/>
              <w:rPr>
                <w:color w:val="auto"/>
                <w:shd w:val="clear" w:color="auto" w:fill="FFFFFF"/>
              </w:rPr>
            </w:pPr>
            <w:r w:rsidRPr="00110670">
              <w:rPr>
                <w:bCs/>
                <w:color w:val="auto"/>
                <w:shd w:val="clear" w:color="auto" w:fill="FFFFFF"/>
              </w:rPr>
              <w:t>I. Загальні положення</w:t>
            </w:r>
          </w:p>
        </w:tc>
      </w:tr>
      <w:tr w:rsidR="003D4B27" w:rsidRPr="00B452A9" w14:paraId="09AD338C" w14:textId="77777777" w:rsidTr="005D73A1">
        <w:tc>
          <w:tcPr>
            <w:tcW w:w="7508" w:type="dxa"/>
          </w:tcPr>
          <w:p w14:paraId="7B22FC76" w14:textId="77777777" w:rsidR="003D4B27" w:rsidRPr="00B452A9" w:rsidRDefault="003D4B27" w:rsidP="005D73A1">
            <w:pPr>
              <w:pStyle w:val="rvps2"/>
              <w:shd w:val="clear" w:color="auto" w:fill="FFFFFF"/>
              <w:spacing w:before="0" w:beforeAutospacing="0" w:after="150" w:afterAutospacing="0"/>
              <w:ind w:firstLine="450"/>
              <w:jc w:val="both"/>
              <w:rPr>
                <w:shd w:val="clear" w:color="auto" w:fill="FFFFFF"/>
              </w:rPr>
            </w:pPr>
            <w:r w:rsidRPr="00110670">
              <w:rPr>
                <w:sz w:val="28"/>
                <w:szCs w:val="28"/>
              </w:rPr>
              <w:t xml:space="preserve">1. Це Положення розроблено відповідно до Законів України "Про Національний банк України", "Про платіжні послуги", "Про основні засади забезпечення кібербезпеки України", </w:t>
            </w:r>
            <w:r w:rsidRPr="00110670">
              <w:rPr>
                <w:strike/>
                <w:sz w:val="28"/>
                <w:szCs w:val="28"/>
              </w:rPr>
              <w:t>"Про електронні довірчі послуги"</w:t>
            </w:r>
            <w:r w:rsidRPr="00110670">
              <w:rPr>
                <w:sz w:val="28"/>
                <w:szCs w:val="28"/>
              </w:rPr>
              <w:t>.</w:t>
            </w:r>
            <w:bookmarkStart w:id="1" w:name="n187"/>
            <w:bookmarkStart w:id="2" w:name="n188"/>
            <w:bookmarkEnd w:id="1"/>
            <w:bookmarkEnd w:id="2"/>
            <w:r w:rsidRPr="00110670">
              <w:rPr>
                <w:sz w:val="28"/>
                <w:szCs w:val="28"/>
              </w:rPr>
              <w:t xml:space="preserve"> </w:t>
            </w:r>
          </w:p>
        </w:tc>
        <w:tc>
          <w:tcPr>
            <w:tcW w:w="7088" w:type="dxa"/>
          </w:tcPr>
          <w:p w14:paraId="083C3AEC" w14:textId="77777777" w:rsidR="003D4B27" w:rsidRPr="00B452A9" w:rsidRDefault="003D4B27" w:rsidP="005D73A1">
            <w:pPr>
              <w:pStyle w:val="rvps2"/>
              <w:shd w:val="clear" w:color="auto" w:fill="FFFFFF"/>
              <w:spacing w:before="0" w:beforeAutospacing="0" w:after="150" w:afterAutospacing="0"/>
              <w:ind w:firstLine="450"/>
              <w:jc w:val="both"/>
              <w:rPr>
                <w:shd w:val="clear" w:color="auto" w:fill="FFFFFF"/>
              </w:rPr>
            </w:pPr>
            <w:r w:rsidRPr="00110670">
              <w:rPr>
                <w:sz w:val="28"/>
                <w:szCs w:val="28"/>
              </w:rPr>
              <w:t xml:space="preserve">1. Це Положення розроблено відповідно до Законів України "Про Національний банк України", "Про платіжні послуги", "Про основні засади забезпечення кібербезпеки України", </w:t>
            </w:r>
            <w:r w:rsidRPr="00110670">
              <w:rPr>
                <w:b/>
                <w:sz w:val="28"/>
                <w:szCs w:val="28"/>
              </w:rPr>
              <w:t>“Про електронну ідентифікацію та електронні довірчі послуги”</w:t>
            </w:r>
            <w:r>
              <w:rPr>
                <w:b/>
                <w:sz w:val="28"/>
                <w:szCs w:val="28"/>
              </w:rPr>
              <w:t>.</w:t>
            </w:r>
          </w:p>
        </w:tc>
      </w:tr>
      <w:tr w:rsidR="003D4B27" w:rsidRPr="00A35BF7" w14:paraId="05DFBCC7" w14:textId="77777777" w:rsidTr="005D73A1">
        <w:tc>
          <w:tcPr>
            <w:tcW w:w="7508" w:type="dxa"/>
          </w:tcPr>
          <w:p w14:paraId="549F4418" w14:textId="77777777" w:rsidR="003D4B27" w:rsidRDefault="003D4B27" w:rsidP="005D73A1">
            <w:pPr>
              <w:pStyle w:val="rvps2"/>
              <w:shd w:val="clear" w:color="auto" w:fill="FFFFFF"/>
              <w:spacing w:before="0" w:beforeAutospacing="0" w:after="150" w:afterAutospacing="0"/>
              <w:ind w:firstLine="450"/>
              <w:jc w:val="both"/>
              <w:rPr>
                <w:sz w:val="28"/>
                <w:szCs w:val="28"/>
              </w:rPr>
            </w:pPr>
            <w:r w:rsidRPr="00A35BF7">
              <w:rPr>
                <w:sz w:val="28"/>
                <w:szCs w:val="28"/>
              </w:rPr>
              <w:t>3. Терміни, що використовуються в цьому Положенні, вживаються в такому значенні:</w:t>
            </w:r>
          </w:p>
          <w:p w14:paraId="7D043C6F" w14:textId="77777777" w:rsidR="003D4B27" w:rsidRDefault="003D4B27" w:rsidP="005D73A1">
            <w:pPr>
              <w:pStyle w:val="rvps2"/>
              <w:shd w:val="clear" w:color="auto" w:fill="FFFFFF"/>
              <w:spacing w:before="0" w:beforeAutospacing="0" w:after="150" w:afterAutospacing="0"/>
              <w:ind w:firstLine="450"/>
              <w:jc w:val="both"/>
              <w:rPr>
                <w:sz w:val="28"/>
                <w:szCs w:val="28"/>
              </w:rPr>
            </w:pPr>
            <w:r>
              <w:rPr>
                <w:sz w:val="28"/>
                <w:szCs w:val="28"/>
              </w:rPr>
              <w:t xml:space="preserve">   </w:t>
            </w:r>
          </w:p>
          <w:p w14:paraId="268F67DC" w14:textId="77777777" w:rsidR="003D4B27" w:rsidRPr="009C6BA5" w:rsidRDefault="003D4B27" w:rsidP="005D73A1">
            <w:pPr>
              <w:pStyle w:val="1Str11"/>
              <w:numPr>
                <w:ilvl w:val="0"/>
                <w:numId w:val="19"/>
              </w:numPr>
              <w:tabs>
                <w:tab w:val="clear" w:pos="1134"/>
              </w:tabs>
              <w:ind w:left="0" w:firstLine="459"/>
            </w:pPr>
            <w:r w:rsidRPr="009C6BA5">
              <w:t>ключовий суб’єкт інформаційного захисту – суб’єкт інформаційного захисту, який належить до однієї категорії або більше:</w:t>
            </w:r>
          </w:p>
          <w:p w14:paraId="66902E5F" w14:textId="77777777" w:rsidR="003D4B27" w:rsidRPr="009C6BA5" w:rsidRDefault="003D4B27" w:rsidP="005D73A1">
            <w:pPr>
              <w:pStyle w:val="1Str2"/>
              <w:rPr>
                <w:lang w:val="uk-UA"/>
              </w:rPr>
            </w:pPr>
            <w:r w:rsidRPr="009C6BA5">
              <w:rPr>
                <w:lang w:val="uk-UA"/>
              </w:rPr>
              <w:t>оператор важливої платіжної системи, якщо він виконує функції технологічного оператора платіжних послуг у цій платіжній системі;</w:t>
            </w:r>
          </w:p>
          <w:p w14:paraId="444FEF58" w14:textId="77777777" w:rsidR="003D4B27" w:rsidRPr="009C6BA5" w:rsidRDefault="003D4B27" w:rsidP="005D73A1">
            <w:pPr>
              <w:pStyle w:val="1Str2"/>
              <w:rPr>
                <w:lang w:val="uk-UA"/>
              </w:rPr>
            </w:pPr>
            <w:r w:rsidRPr="009C6BA5">
              <w:rPr>
                <w:lang w:val="uk-UA"/>
              </w:rPr>
              <w:t>важливий технологічний оператор платіжних послуг;</w:t>
            </w:r>
          </w:p>
          <w:p w14:paraId="499DCDF9" w14:textId="77777777" w:rsidR="003D4B27" w:rsidRPr="009C6BA5" w:rsidRDefault="003D4B27" w:rsidP="005D73A1">
            <w:pPr>
              <w:pStyle w:val="1Str2"/>
              <w:rPr>
                <w:lang w:val="uk-UA"/>
              </w:rPr>
            </w:pPr>
            <w:r w:rsidRPr="009C6BA5">
              <w:rPr>
                <w:lang w:val="uk-UA"/>
              </w:rPr>
              <w:t xml:space="preserve">технологічний оператор платіжних послуг, який надає послуги платіжній системі, створеній нерезидентом, та який </w:t>
            </w:r>
            <w:r w:rsidRPr="009C6BA5">
              <w:rPr>
                <w:lang w:val="uk-UA"/>
              </w:rPr>
              <w:lastRenderedPageBreak/>
              <w:t xml:space="preserve">отримав дозвіл Національного банку України (далі – Національний банк) надавати свої послуги в Україні; </w:t>
            </w:r>
          </w:p>
          <w:p w14:paraId="45F39C7A" w14:textId="77777777" w:rsidR="003D4B27" w:rsidRDefault="003D4B27" w:rsidP="005D73A1">
            <w:pPr>
              <w:pStyle w:val="1Str2"/>
              <w:rPr>
                <w:lang w:val="uk-UA"/>
              </w:rPr>
            </w:pPr>
            <w:r w:rsidRPr="009C6BA5">
              <w:rPr>
                <w:lang w:val="uk-UA"/>
              </w:rPr>
              <w:t>технологічний оператор платіжних послуг, що надає послуги більше ніж одній платіжній системі</w:t>
            </w:r>
            <w:r w:rsidRPr="007117F1">
              <w:rPr>
                <w:lang w:val="uk-UA"/>
              </w:rPr>
              <w:t>;</w:t>
            </w:r>
          </w:p>
          <w:p w14:paraId="2DC6D80D" w14:textId="77777777" w:rsidR="003D4B27" w:rsidRDefault="003D4B27" w:rsidP="005D73A1">
            <w:pPr>
              <w:pStyle w:val="rvps2"/>
              <w:shd w:val="clear" w:color="auto" w:fill="FFFFFF"/>
              <w:spacing w:before="0" w:beforeAutospacing="0" w:after="150" w:afterAutospacing="0"/>
              <w:ind w:firstLine="450"/>
              <w:jc w:val="both"/>
              <w:rPr>
                <w:sz w:val="28"/>
                <w:szCs w:val="28"/>
              </w:rPr>
            </w:pPr>
            <w:r>
              <w:rPr>
                <w:sz w:val="28"/>
                <w:szCs w:val="28"/>
              </w:rPr>
              <w:t>…..</w:t>
            </w:r>
          </w:p>
          <w:p w14:paraId="405B3B7F" w14:textId="77777777" w:rsidR="003D4B27" w:rsidRDefault="003D4B27" w:rsidP="005D73A1">
            <w:pPr>
              <w:pStyle w:val="rvps2"/>
              <w:shd w:val="clear" w:color="auto" w:fill="FFFFFF"/>
              <w:spacing w:before="0" w:beforeAutospacing="0" w:after="150" w:afterAutospacing="0"/>
              <w:ind w:firstLine="450"/>
              <w:jc w:val="both"/>
              <w:rPr>
                <w:sz w:val="28"/>
                <w:szCs w:val="28"/>
              </w:rPr>
            </w:pPr>
          </w:p>
          <w:p w14:paraId="070649A3" w14:textId="77777777" w:rsidR="003D4B27" w:rsidRPr="00110670" w:rsidRDefault="003D4B27" w:rsidP="005D73A1">
            <w:pPr>
              <w:pStyle w:val="rvps2"/>
              <w:shd w:val="clear" w:color="auto" w:fill="FFFFFF"/>
              <w:spacing w:before="0" w:beforeAutospacing="0" w:after="150" w:afterAutospacing="0"/>
              <w:ind w:firstLine="450"/>
              <w:jc w:val="both"/>
              <w:rPr>
                <w:sz w:val="28"/>
                <w:szCs w:val="28"/>
              </w:rPr>
            </w:pPr>
            <w:r w:rsidRPr="00A35BF7">
              <w:rPr>
                <w:sz w:val="28"/>
                <w:szCs w:val="28"/>
              </w:rPr>
              <w:t xml:space="preserve">16) суб'єкт інформаційного захисту - надавач платіжних послуг (крім установ електронних грошей, Національного банку, органів державної влади та органів місцевого самоврядування), оператор платіжної системи-резидент та технологічний оператор платіжних послуг </w:t>
            </w:r>
            <w:r w:rsidRPr="00A35BF7">
              <w:rPr>
                <w:strike/>
                <w:sz w:val="28"/>
                <w:szCs w:val="28"/>
              </w:rPr>
              <w:t>у разі надання інших видів послуг, крім оброблення платіжних операцій в міжнародних карткових платіжних системах</w:t>
            </w:r>
            <w:r w:rsidRPr="00A35BF7">
              <w:rPr>
                <w:sz w:val="28"/>
                <w:szCs w:val="28"/>
              </w:rPr>
              <w:t>.</w:t>
            </w:r>
          </w:p>
        </w:tc>
        <w:tc>
          <w:tcPr>
            <w:tcW w:w="7088" w:type="dxa"/>
          </w:tcPr>
          <w:p w14:paraId="1743A52B" w14:textId="77777777" w:rsidR="003D4B27" w:rsidRDefault="003D4B27" w:rsidP="005D73A1">
            <w:pPr>
              <w:pStyle w:val="rvps2"/>
              <w:shd w:val="clear" w:color="auto" w:fill="FFFFFF"/>
              <w:spacing w:before="0" w:beforeAutospacing="0" w:after="150" w:afterAutospacing="0"/>
              <w:ind w:firstLine="450"/>
              <w:jc w:val="both"/>
              <w:rPr>
                <w:sz w:val="28"/>
                <w:szCs w:val="28"/>
              </w:rPr>
            </w:pPr>
            <w:r w:rsidRPr="00A35BF7">
              <w:rPr>
                <w:sz w:val="28"/>
                <w:szCs w:val="28"/>
              </w:rPr>
              <w:lastRenderedPageBreak/>
              <w:t>3. Терміни, що використовуються в цьому Положенні, вживаються в такому значенні:</w:t>
            </w:r>
          </w:p>
          <w:p w14:paraId="192429E1" w14:textId="77777777" w:rsidR="003D4B27" w:rsidRDefault="003D4B27" w:rsidP="005D73A1">
            <w:pPr>
              <w:pStyle w:val="rvps2"/>
              <w:shd w:val="clear" w:color="auto" w:fill="FFFFFF"/>
              <w:spacing w:before="0" w:beforeAutospacing="0" w:after="150" w:afterAutospacing="0"/>
              <w:ind w:firstLine="450"/>
              <w:jc w:val="both"/>
              <w:rPr>
                <w:sz w:val="28"/>
                <w:szCs w:val="28"/>
              </w:rPr>
            </w:pPr>
            <w:r>
              <w:rPr>
                <w:sz w:val="28"/>
                <w:szCs w:val="28"/>
              </w:rPr>
              <w:t>….</w:t>
            </w:r>
          </w:p>
          <w:p w14:paraId="1B676C9D" w14:textId="77777777" w:rsidR="003D4B27" w:rsidRPr="009C6BA5" w:rsidRDefault="003D4B27" w:rsidP="005D73A1">
            <w:pPr>
              <w:pStyle w:val="1Str11"/>
              <w:numPr>
                <w:ilvl w:val="0"/>
                <w:numId w:val="20"/>
              </w:numPr>
              <w:tabs>
                <w:tab w:val="clear" w:pos="1134"/>
              </w:tabs>
              <w:ind w:left="0" w:firstLine="460"/>
            </w:pPr>
            <w:r>
              <w:t xml:space="preserve"> </w:t>
            </w:r>
            <w:r w:rsidRPr="009C6BA5">
              <w:t>ключовий суб’єкт інформаційного захисту – суб’єкт інформаційного захисту, який належить до однієї категорії або більше:</w:t>
            </w:r>
          </w:p>
          <w:p w14:paraId="69BE8EA3" w14:textId="77777777" w:rsidR="003D4B27" w:rsidRPr="009C6BA5" w:rsidRDefault="003D4B27" w:rsidP="005D73A1">
            <w:pPr>
              <w:pStyle w:val="1Str2"/>
              <w:ind w:firstLine="460"/>
              <w:rPr>
                <w:lang w:val="uk-UA"/>
              </w:rPr>
            </w:pPr>
            <w:r w:rsidRPr="009C6BA5">
              <w:rPr>
                <w:lang w:val="uk-UA"/>
              </w:rPr>
              <w:t xml:space="preserve">оператор </w:t>
            </w:r>
            <w:r w:rsidRPr="0067077B">
              <w:rPr>
                <w:b/>
                <w:lang w:val="uk-UA"/>
              </w:rPr>
              <w:t>системно важливої /</w:t>
            </w:r>
            <w:r>
              <w:rPr>
                <w:lang w:val="uk-UA"/>
              </w:rPr>
              <w:t xml:space="preserve"> </w:t>
            </w:r>
            <w:r w:rsidRPr="009C6BA5">
              <w:rPr>
                <w:lang w:val="uk-UA"/>
              </w:rPr>
              <w:t>важливої платіжної системи, якщо він виконує функції технологічного оператора платіжних послуг у цій платіжній системі;</w:t>
            </w:r>
          </w:p>
          <w:p w14:paraId="4E72E79E" w14:textId="77777777" w:rsidR="003D4B27" w:rsidRPr="009C6BA5" w:rsidRDefault="003D4B27" w:rsidP="005D73A1">
            <w:pPr>
              <w:pStyle w:val="1Str2"/>
              <w:ind w:firstLine="460"/>
              <w:rPr>
                <w:lang w:val="uk-UA"/>
              </w:rPr>
            </w:pPr>
            <w:r w:rsidRPr="009C6BA5">
              <w:rPr>
                <w:lang w:val="uk-UA"/>
              </w:rPr>
              <w:t>важливий технологічний оператор платіжних послуг;</w:t>
            </w:r>
          </w:p>
          <w:p w14:paraId="292C8186" w14:textId="77777777" w:rsidR="003D4B27" w:rsidRPr="009C6BA5" w:rsidRDefault="003D4B27" w:rsidP="005D73A1">
            <w:pPr>
              <w:pStyle w:val="1Str2"/>
              <w:ind w:firstLine="460"/>
              <w:rPr>
                <w:lang w:val="uk-UA"/>
              </w:rPr>
            </w:pPr>
            <w:r w:rsidRPr="009C6BA5">
              <w:rPr>
                <w:lang w:val="uk-UA"/>
              </w:rPr>
              <w:t xml:space="preserve">технологічний оператор платіжних послуг, який надає послуги платіжній системі, створеній </w:t>
            </w:r>
            <w:r w:rsidRPr="009C6BA5">
              <w:rPr>
                <w:lang w:val="uk-UA"/>
              </w:rPr>
              <w:lastRenderedPageBreak/>
              <w:t xml:space="preserve">нерезидентом, та який отримав дозвіл Національного банку України (далі – Національний банк) надавати свої послуги в Україні; </w:t>
            </w:r>
          </w:p>
          <w:p w14:paraId="2B71C573" w14:textId="77777777" w:rsidR="003D4B27" w:rsidRDefault="003D4B27" w:rsidP="005D73A1">
            <w:pPr>
              <w:pStyle w:val="1Str2"/>
              <w:ind w:firstLine="460"/>
              <w:rPr>
                <w:lang w:val="uk-UA"/>
              </w:rPr>
            </w:pPr>
            <w:r w:rsidRPr="009C6BA5">
              <w:rPr>
                <w:lang w:val="uk-UA"/>
              </w:rPr>
              <w:t>технологічний оператор платіжних послуг, що надає послуги більше ніж одній платіжній системі</w:t>
            </w:r>
            <w:r w:rsidRPr="007117F1">
              <w:rPr>
                <w:lang w:val="uk-UA"/>
              </w:rPr>
              <w:t>;</w:t>
            </w:r>
          </w:p>
          <w:p w14:paraId="46B0A977" w14:textId="77777777" w:rsidR="003D4B27" w:rsidRDefault="003D4B27" w:rsidP="005D73A1">
            <w:pPr>
              <w:pStyle w:val="rvps2"/>
              <w:shd w:val="clear" w:color="auto" w:fill="FFFFFF"/>
              <w:spacing w:before="0" w:beforeAutospacing="0" w:after="150" w:afterAutospacing="0"/>
              <w:ind w:firstLine="450"/>
              <w:jc w:val="both"/>
              <w:rPr>
                <w:sz w:val="28"/>
                <w:szCs w:val="28"/>
              </w:rPr>
            </w:pPr>
            <w:r>
              <w:rPr>
                <w:sz w:val="28"/>
                <w:szCs w:val="28"/>
              </w:rPr>
              <w:t>….</w:t>
            </w:r>
          </w:p>
          <w:p w14:paraId="02620829" w14:textId="77777777" w:rsidR="003D4B27" w:rsidRPr="00A35BF7" w:rsidRDefault="003D4B27" w:rsidP="005D73A1">
            <w:pPr>
              <w:pStyle w:val="rvps2"/>
              <w:shd w:val="clear" w:color="auto" w:fill="FFFFFF"/>
              <w:spacing w:before="0" w:beforeAutospacing="0" w:after="150" w:afterAutospacing="0"/>
              <w:ind w:firstLine="450"/>
              <w:jc w:val="both"/>
              <w:rPr>
                <w:sz w:val="28"/>
                <w:szCs w:val="28"/>
              </w:rPr>
            </w:pPr>
            <w:r w:rsidRPr="00A35BF7">
              <w:rPr>
                <w:sz w:val="28"/>
                <w:szCs w:val="28"/>
              </w:rPr>
              <w:t>16) суб'єкт інформаційного захисту - надавач платіжних послуг (крім установ електронних грошей, Національного банку, органів державної влади та органів місцевого самоврядування), оператор платіжної системи-резидент та технологічний оператор платіжних послуг.</w:t>
            </w:r>
          </w:p>
        </w:tc>
      </w:tr>
      <w:tr w:rsidR="003D4B27" w:rsidRPr="00B452A9" w14:paraId="29464829" w14:textId="77777777" w:rsidTr="005D73A1">
        <w:tc>
          <w:tcPr>
            <w:tcW w:w="7508" w:type="dxa"/>
          </w:tcPr>
          <w:p w14:paraId="7359D464" w14:textId="77777777" w:rsidR="003D4B27" w:rsidRPr="00B452A9" w:rsidRDefault="003D4B27" w:rsidP="005D73A1">
            <w:pPr>
              <w:jc w:val="center"/>
              <w:rPr>
                <w:strike/>
                <w:color w:val="auto"/>
                <w:shd w:val="clear" w:color="auto" w:fill="FFFFFF"/>
              </w:rPr>
            </w:pPr>
            <w:r w:rsidRPr="00110670">
              <w:rPr>
                <w:bCs/>
                <w:color w:val="auto"/>
                <w:shd w:val="clear" w:color="auto" w:fill="FFFFFF"/>
              </w:rPr>
              <w:lastRenderedPageBreak/>
              <w:t>XIII. Вимоги щодо фіксації кіберінцидентів та інцидентів інформаційної безпеки і реагування на них</w:t>
            </w:r>
          </w:p>
        </w:tc>
        <w:tc>
          <w:tcPr>
            <w:tcW w:w="7088" w:type="dxa"/>
          </w:tcPr>
          <w:p w14:paraId="5835F6B4" w14:textId="77777777" w:rsidR="003D4B27" w:rsidRPr="00B452A9" w:rsidRDefault="003D4B27" w:rsidP="005D73A1">
            <w:pPr>
              <w:ind w:firstLine="462"/>
              <w:jc w:val="center"/>
              <w:rPr>
                <w:color w:val="auto"/>
                <w:shd w:val="clear" w:color="auto" w:fill="FFFFFF"/>
              </w:rPr>
            </w:pPr>
            <w:r w:rsidRPr="00110670">
              <w:rPr>
                <w:bCs/>
                <w:color w:val="auto"/>
                <w:shd w:val="clear" w:color="auto" w:fill="FFFFFF"/>
              </w:rPr>
              <w:t>XIII. Вимоги щодо фіксації кіберінцидентів та інцидентів інформаційної безпеки і реагування на них</w:t>
            </w:r>
          </w:p>
        </w:tc>
      </w:tr>
      <w:tr w:rsidR="003D4B27" w:rsidRPr="00110670" w14:paraId="1AD4D600" w14:textId="77777777" w:rsidTr="005D73A1">
        <w:tc>
          <w:tcPr>
            <w:tcW w:w="7508" w:type="dxa"/>
          </w:tcPr>
          <w:p w14:paraId="084B0E89" w14:textId="77777777" w:rsidR="003D4B27" w:rsidRPr="00110670" w:rsidRDefault="003D4B27" w:rsidP="005D73A1">
            <w:pPr>
              <w:rPr>
                <w:color w:val="auto"/>
                <w:shd w:val="clear" w:color="auto" w:fill="FFFFFF"/>
              </w:rPr>
            </w:pPr>
            <w:r w:rsidRPr="00110670">
              <w:rPr>
                <w:color w:val="auto"/>
                <w:shd w:val="clear" w:color="auto" w:fill="FFFFFF"/>
              </w:rPr>
              <w:t>45. Суб'єкт інформаційного захисту зобов'язаний невідкладно повідомити Національний банк, якщо виявлено:</w:t>
            </w:r>
          </w:p>
          <w:p w14:paraId="427955BE" w14:textId="77777777" w:rsidR="003D4B27" w:rsidRPr="00110670" w:rsidRDefault="003D4B27" w:rsidP="005D73A1">
            <w:pPr>
              <w:rPr>
                <w:bCs/>
                <w:color w:val="auto"/>
                <w:shd w:val="clear" w:color="auto" w:fill="FFFFFF"/>
              </w:rPr>
            </w:pPr>
            <w:r w:rsidRPr="00110670">
              <w:rPr>
                <w:color w:val="auto"/>
                <w:shd w:val="clear" w:color="auto" w:fill="FFFFFF"/>
              </w:rPr>
              <w:t>1) події, що містять ознаки злочинів, передбачених у розділі XVI Кримінального кодексу України;</w:t>
            </w:r>
          </w:p>
        </w:tc>
        <w:tc>
          <w:tcPr>
            <w:tcW w:w="7088" w:type="dxa"/>
          </w:tcPr>
          <w:p w14:paraId="43DB27CD" w14:textId="77777777" w:rsidR="003D4B27" w:rsidRPr="00110670" w:rsidRDefault="003D4B27" w:rsidP="005D73A1">
            <w:pPr>
              <w:rPr>
                <w:color w:val="auto"/>
                <w:shd w:val="clear" w:color="auto" w:fill="FFFFFF"/>
              </w:rPr>
            </w:pPr>
            <w:r w:rsidRPr="00110670">
              <w:rPr>
                <w:color w:val="auto"/>
                <w:shd w:val="clear" w:color="auto" w:fill="FFFFFF"/>
              </w:rPr>
              <w:t>45. Суб'єкт інформаційного захисту зобов'язаний невідкладно повідомити Національний банк, якщо виявлено:</w:t>
            </w:r>
          </w:p>
          <w:p w14:paraId="4992ABC7" w14:textId="77777777" w:rsidR="003D4B27" w:rsidRPr="00110670" w:rsidRDefault="003D4B27" w:rsidP="005D73A1">
            <w:pPr>
              <w:ind w:firstLine="462"/>
              <w:rPr>
                <w:bCs/>
                <w:color w:val="auto"/>
                <w:shd w:val="clear" w:color="auto" w:fill="FFFFFF"/>
              </w:rPr>
            </w:pPr>
            <w:r w:rsidRPr="00110670">
              <w:rPr>
                <w:color w:val="auto"/>
                <w:shd w:val="clear" w:color="auto" w:fill="FFFFFF"/>
              </w:rPr>
              <w:t>1) події, що містять ознаки злочинів, передбачених у розділі XVI Кримінального кодексу України;</w:t>
            </w:r>
          </w:p>
        </w:tc>
      </w:tr>
      <w:tr w:rsidR="003D4B27" w:rsidRPr="009C6BFB" w14:paraId="0C288FB4" w14:textId="77777777" w:rsidTr="005D73A1">
        <w:tc>
          <w:tcPr>
            <w:tcW w:w="7508" w:type="dxa"/>
          </w:tcPr>
          <w:p w14:paraId="72227645" w14:textId="77777777" w:rsidR="003D4B27" w:rsidRPr="009C6BFB" w:rsidRDefault="003D4B27" w:rsidP="005D73A1">
            <w:pPr>
              <w:pStyle w:val="rvps2"/>
              <w:shd w:val="clear" w:color="auto" w:fill="FFFFFF"/>
              <w:spacing w:before="0" w:beforeAutospacing="0" w:after="150" w:afterAutospacing="0"/>
              <w:ind w:firstLine="450"/>
              <w:jc w:val="both"/>
              <w:rPr>
                <w:strike/>
                <w:sz w:val="28"/>
                <w:szCs w:val="28"/>
              </w:rPr>
            </w:pPr>
            <w:r w:rsidRPr="009C6BFB">
              <w:rPr>
                <w:strike/>
                <w:sz w:val="28"/>
                <w:szCs w:val="28"/>
              </w:rPr>
              <w:t>2) події, які класифікуються згідно із </w:t>
            </w:r>
            <w:hyperlink r:id="rId8" w:tgtFrame="_blank" w:history="1">
              <w:r w:rsidRPr="009C6BFB">
                <w:rPr>
                  <w:rStyle w:val="af6"/>
                  <w:strike/>
                  <w:color w:val="auto"/>
                  <w:sz w:val="28"/>
                  <w:szCs w:val="28"/>
                </w:rPr>
                <w:t>Законом України</w:t>
              </w:r>
            </w:hyperlink>
            <w:r w:rsidRPr="009C6BFB">
              <w:rPr>
                <w:strike/>
                <w:sz w:val="28"/>
                <w:szCs w:val="28"/>
              </w:rPr>
              <w:t> "Про основні засади забезпечення кібербезпеки України" як кіберінциденти;</w:t>
            </w:r>
          </w:p>
          <w:p w14:paraId="2F201EB7" w14:textId="77777777" w:rsidR="003D4B27" w:rsidRPr="009C6BFB" w:rsidRDefault="003D4B27" w:rsidP="005D73A1">
            <w:pPr>
              <w:pStyle w:val="rvps2"/>
              <w:shd w:val="clear" w:color="auto" w:fill="FFFFFF"/>
              <w:spacing w:before="0" w:beforeAutospacing="0" w:after="150" w:afterAutospacing="0"/>
              <w:ind w:firstLine="450"/>
              <w:jc w:val="both"/>
              <w:rPr>
                <w:sz w:val="28"/>
                <w:szCs w:val="28"/>
              </w:rPr>
            </w:pPr>
          </w:p>
        </w:tc>
        <w:tc>
          <w:tcPr>
            <w:tcW w:w="7088" w:type="dxa"/>
          </w:tcPr>
          <w:p w14:paraId="7E4730D0" w14:textId="77777777" w:rsidR="003D4B27" w:rsidRPr="009C6BFB" w:rsidRDefault="003D4B27" w:rsidP="005D73A1">
            <w:pPr>
              <w:pStyle w:val="rvps2"/>
              <w:shd w:val="clear" w:color="auto" w:fill="FFFFFF"/>
              <w:spacing w:before="0" w:beforeAutospacing="0" w:after="150" w:afterAutospacing="0"/>
              <w:ind w:firstLine="450"/>
              <w:jc w:val="both"/>
              <w:rPr>
                <w:sz w:val="28"/>
                <w:szCs w:val="28"/>
              </w:rPr>
            </w:pPr>
            <w:r w:rsidRPr="009C6BFB">
              <w:rPr>
                <w:b/>
                <w:sz w:val="28"/>
                <w:szCs w:val="28"/>
              </w:rPr>
              <w:t>2) події, які класифікуються згідно із Положенням про вимоги до системи управління надавача фінансових платіжних послуг, затверджен</w:t>
            </w:r>
            <w:r>
              <w:rPr>
                <w:b/>
                <w:sz w:val="28"/>
                <w:szCs w:val="28"/>
              </w:rPr>
              <w:t>им</w:t>
            </w:r>
            <w:r w:rsidRPr="009C6BFB">
              <w:rPr>
                <w:b/>
                <w:sz w:val="28"/>
                <w:szCs w:val="28"/>
              </w:rPr>
              <w:t xml:space="preserve"> постановою Правління Національного банку України від 10 жовтня 2024 року № 123</w:t>
            </w:r>
            <w:r>
              <w:rPr>
                <w:b/>
                <w:sz w:val="28"/>
                <w:szCs w:val="28"/>
              </w:rPr>
              <w:t xml:space="preserve"> (далі – Положення </w:t>
            </w:r>
            <w:r>
              <w:rPr>
                <w:b/>
                <w:sz w:val="28"/>
                <w:szCs w:val="28"/>
              </w:rPr>
              <w:lastRenderedPageBreak/>
              <w:t>№</w:t>
            </w:r>
            <w:r>
              <w:rPr>
                <w:b/>
                <w:sz w:val="28"/>
                <w:szCs w:val="28"/>
                <w:lang w:val="en-US"/>
              </w:rPr>
              <w:t> </w:t>
            </w:r>
            <w:r>
              <w:rPr>
                <w:b/>
                <w:sz w:val="28"/>
                <w:szCs w:val="28"/>
              </w:rPr>
              <w:t>123)</w:t>
            </w:r>
            <w:r w:rsidRPr="009C6BFB">
              <w:rPr>
                <w:b/>
                <w:sz w:val="28"/>
                <w:szCs w:val="28"/>
              </w:rPr>
              <w:t>, як кіберінциденти,</w:t>
            </w:r>
            <w:r w:rsidRPr="00CD70E6">
              <w:rPr>
                <w:b/>
                <w:sz w:val="28"/>
                <w:szCs w:val="28"/>
              </w:rPr>
              <w:t xml:space="preserve"> пов’язані з наданням платіжних послуг (виконанням платіжних операцій) та</w:t>
            </w:r>
            <w:r w:rsidRPr="009C6BFB">
              <w:rPr>
                <w:b/>
                <w:sz w:val="28"/>
                <w:szCs w:val="28"/>
              </w:rPr>
              <w:t xml:space="preserve"> які відповідають рівням критичності високий (помаранчевий), критичний (червоний) та надзвичайний (чорний) (далі – значні кіберінциденти);</w:t>
            </w:r>
          </w:p>
        </w:tc>
      </w:tr>
      <w:tr w:rsidR="003D4B27" w:rsidRPr="009C6BFB" w14:paraId="28C3C991" w14:textId="77777777" w:rsidTr="005D73A1">
        <w:tc>
          <w:tcPr>
            <w:tcW w:w="7508" w:type="dxa"/>
          </w:tcPr>
          <w:p w14:paraId="0B1DB4DA" w14:textId="77777777" w:rsidR="003D4B27" w:rsidRPr="009C6BFB" w:rsidRDefault="003D4B27" w:rsidP="005D73A1">
            <w:pPr>
              <w:pStyle w:val="rvps2"/>
              <w:shd w:val="clear" w:color="auto" w:fill="FFFFFF"/>
              <w:spacing w:before="0" w:beforeAutospacing="0" w:after="150" w:afterAutospacing="0"/>
              <w:ind w:firstLine="450"/>
              <w:jc w:val="both"/>
              <w:rPr>
                <w:sz w:val="28"/>
                <w:szCs w:val="28"/>
              </w:rPr>
            </w:pPr>
            <w:r w:rsidRPr="009C6BFB">
              <w:rPr>
                <w:sz w:val="28"/>
                <w:szCs w:val="28"/>
              </w:rPr>
              <w:lastRenderedPageBreak/>
              <w:t>3) події, що призвели до витоку чи незаконного розголошення інформації з обмеженим доступом, яка обробляється в IC</w:t>
            </w:r>
            <w:r w:rsidRPr="00110670">
              <w:rPr>
                <w:strike/>
                <w:sz w:val="28"/>
                <w:szCs w:val="28"/>
              </w:rPr>
              <w:t>.</w:t>
            </w:r>
          </w:p>
        </w:tc>
        <w:tc>
          <w:tcPr>
            <w:tcW w:w="7088" w:type="dxa"/>
          </w:tcPr>
          <w:p w14:paraId="0DAFB51D" w14:textId="77777777" w:rsidR="003D4B27" w:rsidRPr="009C6BFB" w:rsidRDefault="003D4B27" w:rsidP="005D73A1">
            <w:pPr>
              <w:pStyle w:val="rvps2"/>
              <w:shd w:val="clear" w:color="auto" w:fill="FFFFFF"/>
              <w:spacing w:before="0" w:beforeAutospacing="0" w:after="150" w:afterAutospacing="0"/>
              <w:ind w:firstLine="450"/>
              <w:jc w:val="both"/>
              <w:rPr>
                <w:sz w:val="28"/>
                <w:szCs w:val="28"/>
              </w:rPr>
            </w:pPr>
            <w:r w:rsidRPr="00E75257">
              <w:rPr>
                <w:sz w:val="28"/>
                <w:szCs w:val="28"/>
                <w:lang w:val="ru-RU"/>
              </w:rPr>
              <w:t>3</w:t>
            </w:r>
            <w:r w:rsidRPr="009C6BFB">
              <w:rPr>
                <w:sz w:val="28"/>
                <w:szCs w:val="28"/>
              </w:rPr>
              <w:t>) події, що призвели до витоку чи незаконного розголошення інформації з обмеженим доступом, яка обробляється в IC</w:t>
            </w:r>
            <w:r w:rsidRPr="00110670">
              <w:rPr>
                <w:b/>
                <w:sz w:val="28"/>
                <w:szCs w:val="28"/>
              </w:rPr>
              <w:t>;</w:t>
            </w:r>
          </w:p>
        </w:tc>
      </w:tr>
      <w:tr w:rsidR="003D4B27" w:rsidRPr="00110670" w14:paraId="1FED2B69" w14:textId="77777777" w:rsidTr="005D73A1">
        <w:tc>
          <w:tcPr>
            <w:tcW w:w="7508" w:type="dxa"/>
          </w:tcPr>
          <w:p w14:paraId="7A1883B5" w14:textId="77777777" w:rsidR="003D4B27" w:rsidRPr="009C6BFB" w:rsidRDefault="003D4B27" w:rsidP="005D73A1">
            <w:pPr>
              <w:pStyle w:val="rvps2"/>
              <w:shd w:val="clear" w:color="auto" w:fill="FFFFFF"/>
              <w:spacing w:before="0" w:beforeAutospacing="0" w:after="150" w:afterAutospacing="0"/>
              <w:ind w:firstLine="450"/>
              <w:jc w:val="both"/>
              <w:rPr>
                <w:sz w:val="28"/>
                <w:szCs w:val="28"/>
              </w:rPr>
            </w:pPr>
            <w:r>
              <w:rPr>
                <w:sz w:val="28"/>
                <w:szCs w:val="28"/>
              </w:rPr>
              <w:t>відсутній</w:t>
            </w:r>
          </w:p>
        </w:tc>
        <w:tc>
          <w:tcPr>
            <w:tcW w:w="7088" w:type="dxa"/>
          </w:tcPr>
          <w:p w14:paraId="1981B443" w14:textId="71D484E8" w:rsidR="003D4B27" w:rsidRPr="00110670" w:rsidRDefault="003D4B27" w:rsidP="000816C0">
            <w:pPr>
              <w:pStyle w:val="rvps2"/>
              <w:shd w:val="clear" w:color="auto" w:fill="FFFFFF"/>
              <w:spacing w:before="0" w:beforeAutospacing="0" w:after="150" w:afterAutospacing="0"/>
              <w:ind w:firstLine="450"/>
              <w:jc w:val="both"/>
              <w:rPr>
                <w:sz w:val="28"/>
                <w:szCs w:val="28"/>
              </w:rPr>
            </w:pPr>
            <w:r w:rsidRPr="00110670">
              <w:rPr>
                <w:b/>
                <w:sz w:val="28"/>
                <w:szCs w:val="28"/>
              </w:rPr>
              <w:t>4) події, які класифікуються згідно із Положенням № 123, як кіберінциденти, пов’язані з наданням платіжних послуг (виконанням платіжних операцій) та які відповідають рівню критичності  середній (жовтий);</w:t>
            </w:r>
          </w:p>
        </w:tc>
      </w:tr>
      <w:tr w:rsidR="003D4B27" w:rsidRPr="00B452A9" w14:paraId="589D2C94" w14:textId="77777777" w:rsidTr="005D73A1">
        <w:tc>
          <w:tcPr>
            <w:tcW w:w="7508" w:type="dxa"/>
          </w:tcPr>
          <w:p w14:paraId="68A7100B" w14:textId="77777777" w:rsidR="003D4B27" w:rsidRDefault="003D4B27" w:rsidP="005D73A1">
            <w:pPr>
              <w:ind w:firstLine="731"/>
              <w:rPr>
                <w:color w:val="auto"/>
                <w:shd w:val="clear" w:color="auto" w:fill="FFFFFF"/>
              </w:rPr>
            </w:pPr>
            <w:r w:rsidRPr="009C6BFB">
              <w:rPr>
                <w:color w:val="auto"/>
                <w:shd w:val="clear" w:color="auto" w:fill="FFFFFF"/>
              </w:rPr>
              <w:t xml:space="preserve">46. Повідомлення про події, зазначені </w:t>
            </w:r>
            <w:r w:rsidRPr="009C6BFB">
              <w:rPr>
                <w:strike/>
                <w:color w:val="auto"/>
                <w:shd w:val="clear" w:color="auto" w:fill="FFFFFF"/>
              </w:rPr>
              <w:t xml:space="preserve">в пункті </w:t>
            </w:r>
            <w:r w:rsidRPr="009C6BFB">
              <w:rPr>
                <w:color w:val="auto"/>
                <w:shd w:val="clear" w:color="auto" w:fill="FFFFFF"/>
              </w:rPr>
              <w:t>45 розділу XIII цього Положення, слід надавати одним із таких способів:</w:t>
            </w:r>
          </w:p>
          <w:p w14:paraId="6C1F58F9" w14:textId="77777777" w:rsidR="003D4B27" w:rsidRPr="009C6BFB" w:rsidRDefault="003D4B27" w:rsidP="005D73A1">
            <w:pPr>
              <w:ind w:firstLine="731"/>
              <w:rPr>
                <w:color w:val="auto"/>
                <w:shd w:val="clear" w:color="auto" w:fill="FFFFFF"/>
              </w:rPr>
            </w:pPr>
            <w:r w:rsidRPr="009C6BFB">
              <w:rPr>
                <w:color w:val="auto"/>
                <w:shd w:val="clear" w:color="auto" w:fill="FFFFFF"/>
              </w:rPr>
              <w:t>1) електронним листом засобами системи електронної пошти Національного банку;</w:t>
            </w:r>
          </w:p>
          <w:p w14:paraId="09A546A4" w14:textId="77777777" w:rsidR="003D4B27" w:rsidRPr="009C6BFB" w:rsidRDefault="003D4B27" w:rsidP="005D73A1">
            <w:pPr>
              <w:ind w:firstLine="731"/>
              <w:rPr>
                <w:color w:val="auto"/>
                <w:shd w:val="clear" w:color="auto" w:fill="FFFFFF"/>
              </w:rPr>
            </w:pPr>
            <w:bookmarkStart w:id="3" w:name="n191"/>
            <w:bookmarkEnd w:id="3"/>
            <w:r w:rsidRPr="009C6BFB">
              <w:rPr>
                <w:color w:val="auto"/>
                <w:shd w:val="clear" w:color="auto" w:fill="FFFFFF"/>
              </w:rPr>
              <w:t>2) електронним листом на офіційну електронну поштову скриньку Національного банку;</w:t>
            </w:r>
          </w:p>
          <w:p w14:paraId="2493B08F" w14:textId="77777777" w:rsidR="003D4B27" w:rsidRPr="00B452A9" w:rsidRDefault="003D4B27" w:rsidP="005D73A1">
            <w:pPr>
              <w:ind w:firstLine="731"/>
              <w:rPr>
                <w:color w:val="auto"/>
                <w:shd w:val="clear" w:color="auto" w:fill="FFFFFF"/>
              </w:rPr>
            </w:pPr>
            <w:bookmarkStart w:id="4" w:name="n192"/>
            <w:bookmarkEnd w:id="4"/>
            <w:r w:rsidRPr="009C6BFB">
              <w:rPr>
                <w:color w:val="auto"/>
                <w:shd w:val="clear" w:color="auto" w:fill="FFFFFF"/>
              </w:rPr>
              <w:t>3) засобами поштового зв'язку на паперовому носії (у разі неможливості використання вищезазначених засобів електронного зв'язку).</w:t>
            </w:r>
          </w:p>
        </w:tc>
        <w:tc>
          <w:tcPr>
            <w:tcW w:w="7088" w:type="dxa"/>
          </w:tcPr>
          <w:p w14:paraId="50E93384" w14:textId="77777777" w:rsidR="003D4B27" w:rsidRDefault="003D4B27" w:rsidP="005D73A1">
            <w:pPr>
              <w:tabs>
                <w:tab w:val="left" w:pos="1134"/>
              </w:tabs>
              <w:ind w:firstLine="460"/>
              <w:rPr>
                <w:color w:val="auto"/>
                <w:shd w:val="clear" w:color="auto" w:fill="FFFFFF"/>
              </w:rPr>
            </w:pPr>
            <w:r w:rsidRPr="009C6BFB">
              <w:rPr>
                <w:color w:val="auto"/>
                <w:shd w:val="clear" w:color="auto" w:fill="FFFFFF"/>
              </w:rPr>
              <w:t>46. Повідомлення про події, зазначені в </w:t>
            </w:r>
            <w:r>
              <w:rPr>
                <w:b/>
                <w:color w:val="auto"/>
                <w:shd w:val="clear" w:color="auto" w:fill="FFFFFF"/>
              </w:rPr>
              <w:t>підпунктах 1,</w:t>
            </w:r>
            <w:r w:rsidRPr="00E75257">
              <w:rPr>
                <w:b/>
                <w:color w:val="auto"/>
                <w:shd w:val="clear" w:color="auto" w:fill="FFFFFF"/>
                <w:lang w:val="ru-RU"/>
              </w:rPr>
              <w:t xml:space="preserve"> </w:t>
            </w:r>
            <w:r>
              <w:rPr>
                <w:b/>
                <w:color w:val="auto"/>
                <w:shd w:val="clear" w:color="auto" w:fill="FFFFFF"/>
              </w:rPr>
              <w:t xml:space="preserve">3, 4 </w:t>
            </w:r>
            <w:r w:rsidRPr="009C6BFB">
              <w:rPr>
                <w:b/>
                <w:color w:val="auto"/>
                <w:shd w:val="clear" w:color="auto" w:fill="FFFFFF"/>
              </w:rPr>
              <w:t>пункту</w:t>
            </w:r>
            <w:r w:rsidRPr="009C6BFB">
              <w:rPr>
                <w:color w:val="auto"/>
                <w:shd w:val="clear" w:color="auto" w:fill="FFFFFF"/>
              </w:rPr>
              <w:t xml:space="preserve"> 45</w:t>
            </w:r>
            <w:r>
              <w:rPr>
                <w:color w:val="auto"/>
                <w:shd w:val="clear" w:color="auto" w:fill="FFFFFF"/>
              </w:rPr>
              <w:t xml:space="preserve"> </w:t>
            </w:r>
            <w:r w:rsidRPr="009C6BFB">
              <w:rPr>
                <w:color w:val="auto"/>
                <w:shd w:val="clear" w:color="auto" w:fill="FFFFFF"/>
              </w:rPr>
              <w:t>розділу XIII цього Положення, слід надавати одним із таких способів:</w:t>
            </w:r>
          </w:p>
          <w:p w14:paraId="1D6A396E" w14:textId="77777777" w:rsidR="003D4B27" w:rsidRPr="009C6BFB" w:rsidRDefault="003D4B27" w:rsidP="005D73A1">
            <w:pPr>
              <w:tabs>
                <w:tab w:val="left" w:pos="1134"/>
              </w:tabs>
              <w:ind w:firstLine="460"/>
              <w:rPr>
                <w:color w:val="auto"/>
                <w:shd w:val="clear" w:color="auto" w:fill="FFFFFF"/>
              </w:rPr>
            </w:pPr>
            <w:r w:rsidRPr="009C6BFB">
              <w:rPr>
                <w:color w:val="auto"/>
                <w:shd w:val="clear" w:color="auto" w:fill="FFFFFF"/>
              </w:rPr>
              <w:t>1) електронним листом засобами системи електронної пошти Національного банку;</w:t>
            </w:r>
          </w:p>
          <w:p w14:paraId="0F29E8B6" w14:textId="77777777" w:rsidR="003D4B27" w:rsidRPr="009C6BFB" w:rsidRDefault="003D4B27" w:rsidP="005D73A1">
            <w:pPr>
              <w:tabs>
                <w:tab w:val="left" w:pos="1134"/>
              </w:tabs>
              <w:ind w:firstLine="460"/>
              <w:rPr>
                <w:color w:val="auto"/>
                <w:shd w:val="clear" w:color="auto" w:fill="FFFFFF"/>
              </w:rPr>
            </w:pPr>
            <w:r w:rsidRPr="009C6BFB">
              <w:rPr>
                <w:color w:val="auto"/>
                <w:shd w:val="clear" w:color="auto" w:fill="FFFFFF"/>
              </w:rPr>
              <w:t>2) електронним листом на офіційну електронну поштову скриньку Національного банку;</w:t>
            </w:r>
          </w:p>
          <w:p w14:paraId="55D146FD" w14:textId="77777777" w:rsidR="003D4B27" w:rsidRPr="00B452A9" w:rsidRDefault="003D4B27" w:rsidP="005D73A1">
            <w:pPr>
              <w:tabs>
                <w:tab w:val="left" w:pos="1134"/>
              </w:tabs>
              <w:ind w:firstLine="460"/>
              <w:rPr>
                <w:color w:val="auto"/>
                <w:shd w:val="clear" w:color="auto" w:fill="FFFFFF"/>
              </w:rPr>
            </w:pPr>
            <w:r w:rsidRPr="009C6BFB">
              <w:rPr>
                <w:color w:val="auto"/>
                <w:shd w:val="clear" w:color="auto" w:fill="FFFFFF"/>
              </w:rPr>
              <w:t>3) засобами поштового зв'язку на паперовому носії (у разі неможливості використання вищезазначених засобів електронного зв'язку).</w:t>
            </w:r>
          </w:p>
        </w:tc>
      </w:tr>
      <w:tr w:rsidR="003D4B27" w:rsidRPr="009C6BFB" w14:paraId="7DCB965B" w14:textId="77777777" w:rsidTr="005D73A1">
        <w:tc>
          <w:tcPr>
            <w:tcW w:w="7508" w:type="dxa"/>
          </w:tcPr>
          <w:p w14:paraId="20C40D59" w14:textId="77777777" w:rsidR="003D4B27" w:rsidRPr="009C6BFB" w:rsidRDefault="003D4B27" w:rsidP="005D73A1">
            <w:pPr>
              <w:ind w:firstLine="731"/>
              <w:rPr>
                <w:color w:val="auto"/>
                <w:shd w:val="clear" w:color="auto" w:fill="FFFFFF"/>
              </w:rPr>
            </w:pPr>
            <w:r w:rsidRPr="00B452A9">
              <w:rPr>
                <w:color w:val="auto"/>
                <w:shd w:val="clear" w:color="auto" w:fill="FFFFFF"/>
              </w:rPr>
              <w:lastRenderedPageBreak/>
              <w:t>відсутній</w:t>
            </w:r>
          </w:p>
        </w:tc>
        <w:tc>
          <w:tcPr>
            <w:tcW w:w="7088" w:type="dxa"/>
          </w:tcPr>
          <w:p w14:paraId="1C40D22C" w14:textId="77777777" w:rsidR="003D4B27" w:rsidRPr="009C6BFB" w:rsidRDefault="003D4B27" w:rsidP="005D73A1">
            <w:pPr>
              <w:tabs>
                <w:tab w:val="left" w:pos="1134"/>
              </w:tabs>
              <w:ind w:firstLine="460"/>
              <w:rPr>
                <w:b/>
                <w:color w:val="auto"/>
                <w:shd w:val="clear" w:color="auto" w:fill="FFFFFF"/>
              </w:rPr>
            </w:pPr>
            <w:r w:rsidRPr="009C6BFB">
              <w:rPr>
                <w:b/>
                <w:color w:val="auto"/>
                <w:shd w:val="clear" w:color="auto" w:fill="FFFFFF"/>
              </w:rPr>
              <w:t xml:space="preserve">47. </w:t>
            </w:r>
            <w:r w:rsidRPr="00CD70E6">
              <w:rPr>
                <w:b/>
                <w:color w:val="auto"/>
                <w:shd w:val="clear" w:color="auto" w:fill="FFFFFF"/>
              </w:rPr>
              <w:t>Повідомлення про події, зазначені в підпункті 2 пункту 45 </w:t>
            </w:r>
            <w:r w:rsidRPr="00CD70E6">
              <w:rPr>
                <w:b/>
                <w:color w:val="auto"/>
                <w:shd w:val="clear" w:color="auto" w:fill="FFFFFF"/>
                <w:lang w:val="ru-RU"/>
              </w:rPr>
              <w:t xml:space="preserve"> </w:t>
            </w:r>
            <w:r w:rsidRPr="00CD70E6">
              <w:rPr>
                <w:b/>
                <w:color w:val="auto"/>
                <w:shd w:val="clear" w:color="auto" w:fill="FFFFFF"/>
              </w:rPr>
              <w:t>розділу XIII цього Положення, слід надавати електронним листом на електронну поштову скриньку Центру кіберзахисту Національного банку cyber@bank.gov.ua.</w:t>
            </w:r>
          </w:p>
        </w:tc>
      </w:tr>
      <w:tr w:rsidR="00B452A9" w:rsidRPr="00B452A9" w14:paraId="6EE88828" w14:textId="77777777" w:rsidTr="00B0775C">
        <w:tc>
          <w:tcPr>
            <w:tcW w:w="14596" w:type="dxa"/>
            <w:gridSpan w:val="2"/>
          </w:tcPr>
          <w:p w14:paraId="04B355A0" w14:textId="679592F7" w:rsidR="00177107" w:rsidRPr="00DD2BDD" w:rsidRDefault="008E456E" w:rsidP="00DD2BDD">
            <w:pPr>
              <w:ind w:firstLine="0"/>
              <w:jc w:val="center"/>
              <w:rPr>
                <w:color w:val="auto"/>
                <w:sz w:val="24"/>
              </w:rPr>
            </w:pPr>
            <w:r w:rsidRPr="00B452A9">
              <w:rPr>
                <w:bCs/>
                <w:color w:val="auto"/>
              </w:rPr>
              <w:t>Положення про організацію кіберзахисту в банківській системі України</w:t>
            </w:r>
            <w:r w:rsidR="00DD2BDD">
              <w:rPr>
                <w:bCs/>
                <w:color w:val="auto"/>
              </w:rPr>
              <w:t xml:space="preserve">, </w:t>
            </w:r>
            <w:r w:rsidR="00DD2BDD" w:rsidRPr="00F24C63">
              <w:rPr>
                <w:rFonts w:eastAsiaTheme="minorEastAsia"/>
                <w:noProof/>
                <w:color w:val="000000" w:themeColor="text1"/>
              </w:rPr>
              <w:t>затверджен</w:t>
            </w:r>
            <w:r w:rsidR="00DD2BDD">
              <w:rPr>
                <w:rFonts w:eastAsiaTheme="minorEastAsia"/>
                <w:noProof/>
                <w:color w:val="000000" w:themeColor="text1"/>
              </w:rPr>
              <w:t>е</w:t>
            </w:r>
            <w:r w:rsidR="00DD2BDD" w:rsidRPr="00F24C63">
              <w:rPr>
                <w:rFonts w:eastAsiaTheme="minorEastAsia"/>
                <w:noProof/>
                <w:color w:val="000000" w:themeColor="text1"/>
              </w:rPr>
              <w:t xml:space="preserve"> постановою </w:t>
            </w:r>
            <w:r w:rsidR="00DD2BDD" w:rsidRPr="000328A6">
              <w:rPr>
                <w:rFonts w:eastAsiaTheme="minorEastAsia"/>
                <w:noProof/>
                <w:color w:val="000000" w:themeColor="text1"/>
                <w:lang w:val="ru-RU"/>
              </w:rPr>
              <w:t>Правління Національного банку України в</w:t>
            </w:r>
            <w:r w:rsidR="00DD2BDD" w:rsidRPr="000328A6">
              <w:rPr>
                <w:rFonts w:eastAsiaTheme="minorEastAsia"/>
                <w:noProof/>
                <w:color w:val="000000" w:themeColor="text1"/>
              </w:rPr>
              <w:t xml:space="preserve">ід </w:t>
            </w:r>
            <w:r w:rsidR="00DD2BDD" w:rsidRPr="000328A6">
              <w:rPr>
                <w:rFonts w:eastAsiaTheme="minorEastAsia"/>
                <w:noProof/>
                <w:color w:val="000000" w:themeColor="text1"/>
                <w:lang w:val="ru-RU"/>
              </w:rPr>
              <w:t>12 серпня 2022 року № 178 (зі змінами</w:t>
            </w:r>
            <w:r w:rsidR="00DD2BDD">
              <w:rPr>
                <w:rFonts w:eastAsiaTheme="minorEastAsia"/>
                <w:noProof/>
                <w:color w:val="000000" w:themeColor="text1"/>
                <w:lang w:val="ru-RU"/>
              </w:rPr>
              <w:t>)</w:t>
            </w:r>
          </w:p>
        </w:tc>
      </w:tr>
      <w:tr w:rsidR="00B452A9" w:rsidRPr="00B452A9" w14:paraId="556B632B" w14:textId="77777777" w:rsidTr="00B0775C">
        <w:tc>
          <w:tcPr>
            <w:tcW w:w="7508" w:type="dxa"/>
          </w:tcPr>
          <w:p w14:paraId="69BC46BD" w14:textId="77777777" w:rsidR="008E456E" w:rsidRPr="00B452A9" w:rsidRDefault="008E456E" w:rsidP="008E456E">
            <w:pPr>
              <w:jc w:val="center"/>
              <w:rPr>
                <w:color w:val="auto"/>
                <w:shd w:val="clear" w:color="auto" w:fill="FFFFFF"/>
              </w:rPr>
            </w:pPr>
            <w:r w:rsidRPr="00B452A9">
              <w:rPr>
                <w:color w:val="auto"/>
              </w:rPr>
              <w:t>І. Загальні положення</w:t>
            </w:r>
          </w:p>
        </w:tc>
        <w:tc>
          <w:tcPr>
            <w:tcW w:w="7088" w:type="dxa"/>
          </w:tcPr>
          <w:p w14:paraId="76F2A330" w14:textId="77777777" w:rsidR="008E456E" w:rsidRPr="00B452A9" w:rsidRDefault="008E456E" w:rsidP="008E456E">
            <w:pPr>
              <w:tabs>
                <w:tab w:val="left" w:pos="1134"/>
              </w:tabs>
              <w:ind w:firstLine="0"/>
              <w:jc w:val="center"/>
              <w:rPr>
                <w:color w:val="auto"/>
                <w:shd w:val="clear" w:color="auto" w:fill="FFFFFF"/>
              </w:rPr>
            </w:pPr>
            <w:r w:rsidRPr="00B452A9">
              <w:rPr>
                <w:color w:val="auto"/>
              </w:rPr>
              <w:t>І. Загальні положення</w:t>
            </w:r>
          </w:p>
        </w:tc>
      </w:tr>
      <w:tr w:rsidR="00B452A9" w:rsidRPr="00B452A9" w14:paraId="15D10FEF" w14:textId="77777777" w:rsidTr="00B0775C">
        <w:tc>
          <w:tcPr>
            <w:tcW w:w="7508" w:type="dxa"/>
          </w:tcPr>
          <w:p w14:paraId="7D59EF0E" w14:textId="77777777" w:rsidR="008E456E" w:rsidRPr="00B452A9" w:rsidRDefault="008E456E" w:rsidP="008E456E">
            <w:pPr>
              <w:ind w:firstLine="731"/>
              <w:rPr>
                <w:color w:val="auto"/>
                <w:shd w:val="clear" w:color="auto" w:fill="FFFFFF"/>
              </w:rPr>
            </w:pPr>
            <w:r w:rsidRPr="00B452A9">
              <w:rPr>
                <w:color w:val="auto"/>
                <w:shd w:val="clear" w:color="auto" w:fill="FFFFFF"/>
              </w:rPr>
              <w:t>2. Терміни та скорочення в цьому Положенні вживаються в такому значенні:</w:t>
            </w:r>
          </w:p>
          <w:p w14:paraId="7E34DF66" w14:textId="77777777" w:rsidR="008E456E" w:rsidRPr="00B452A9" w:rsidRDefault="008E456E" w:rsidP="008E456E">
            <w:pPr>
              <w:ind w:firstLine="731"/>
              <w:rPr>
                <w:color w:val="auto"/>
                <w:shd w:val="clear" w:color="auto" w:fill="FFFFFF"/>
              </w:rPr>
            </w:pPr>
            <w:r w:rsidRPr="00B452A9">
              <w:rPr>
                <w:color w:val="auto"/>
                <w:shd w:val="clear" w:color="auto" w:fill="FFFFFF"/>
              </w:rPr>
              <w:t>…</w:t>
            </w:r>
          </w:p>
        </w:tc>
        <w:tc>
          <w:tcPr>
            <w:tcW w:w="7088" w:type="dxa"/>
          </w:tcPr>
          <w:p w14:paraId="4D6B3AE0" w14:textId="77777777" w:rsidR="008E456E" w:rsidRPr="00B452A9" w:rsidRDefault="008E456E" w:rsidP="00932340">
            <w:pPr>
              <w:tabs>
                <w:tab w:val="left" w:pos="1134"/>
              </w:tabs>
              <w:ind w:firstLine="460"/>
              <w:rPr>
                <w:color w:val="auto"/>
                <w:shd w:val="clear" w:color="auto" w:fill="FFFFFF"/>
              </w:rPr>
            </w:pPr>
            <w:r w:rsidRPr="00B452A9">
              <w:rPr>
                <w:color w:val="auto"/>
                <w:shd w:val="clear" w:color="auto" w:fill="FFFFFF"/>
              </w:rPr>
              <w:t>2. Терміни та скорочення в цьому Положенні вживаються в такому значенні:</w:t>
            </w:r>
          </w:p>
          <w:p w14:paraId="25BE6FBB" w14:textId="77777777" w:rsidR="008E456E" w:rsidRPr="00B452A9" w:rsidRDefault="008E456E" w:rsidP="008E456E">
            <w:pPr>
              <w:tabs>
                <w:tab w:val="left" w:pos="1134"/>
              </w:tabs>
              <w:ind w:firstLine="0"/>
              <w:rPr>
                <w:color w:val="auto"/>
                <w:shd w:val="clear" w:color="auto" w:fill="FFFFFF"/>
              </w:rPr>
            </w:pPr>
            <w:r w:rsidRPr="00B452A9">
              <w:rPr>
                <w:color w:val="auto"/>
                <w:shd w:val="clear" w:color="auto" w:fill="FFFFFF"/>
              </w:rPr>
              <w:t>…</w:t>
            </w:r>
          </w:p>
        </w:tc>
      </w:tr>
      <w:tr w:rsidR="00B452A9" w:rsidRPr="00B452A9" w14:paraId="78136D2E" w14:textId="77777777" w:rsidTr="00B0775C">
        <w:tc>
          <w:tcPr>
            <w:tcW w:w="7508" w:type="dxa"/>
          </w:tcPr>
          <w:p w14:paraId="627917D3" w14:textId="3952097E" w:rsidR="009F59D0" w:rsidRPr="00B452A9" w:rsidRDefault="009F59D0" w:rsidP="008E456E">
            <w:pPr>
              <w:ind w:firstLine="731"/>
              <w:rPr>
                <w:color w:val="auto"/>
                <w:shd w:val="clear" w:color="auto" w:fill="FFFFFF"/>
              </w:rPr>
            </w:pPr>
            <w:r w:rsidRPr="00B452A9">
              <w:rPr>
                <w:color w:val="auto"/>
                <w:shd w:val="clear" w:color="auto" w:fill="FFFFFF"/>
              </w:rPr>
              <w:t>відсутній</w:t>
            </w:r>
          </w:p>
        </w:tc>
        <w:tc>
          <w:tcPr>
            <w:tcW w:w="7088" w:type="dxa"/>
          </w:tcPr>
          <w:p w14:paraId="5A93EDB7" w14:textId="33DC9BC5" w:rsidR="009F59D0" w:rsidRPr="00B452A9" w:rsidRDefault="009F59D0" w:rsidP="00A73087">
            <w:pPr>
              <w:tabs>
                <w:tab w:val="left" w:pos="1134"/>
              </w:tabs>
              <w:ind w:firstLine="460"/>
              <w:rPr>
                <w:b/>
                <w:color w:val="auto"/>
                <w:shd w:val="clear" w:color="auto" w:fill="FFFFFF"/>
              </w:rPr>
            </w:pPr>
            <w:r w:rsidRPr="00B452A9">
              <w:rPr>
                <w:b/>
                <w:color w:val="auto"/>
                <w:shd w:val="clear" w:color="auto" w:fill="FFFFFF"/>
              </w:rPr>
              <w:t>1) банк</w:t>
            </w:r>
            <w:r w:rsidR="00374B73">
              <w:rPr>
                <w:b/>
                <w:color w:val="auto"/>
                <w:shd w:val="clear" w:color="auto" w:fill="FFFFFF"/>
              </w:rPr>
              <w:t xml:space="preserve"> </w:t>
            </w:r>
            <w:r w:rsidR="00A73087">
              <w:rPr>
                <w:b/>
                <w:color w:val="auto"/>
                <w:shd w:val="clear" w:color="auto" w:fill="FFFFFF"/>
              </w:rPr>
              <w:t>-</w:t>
            </w:r>
            <w:r w:rsidR="00374B73">
              <w:rPr>
                <w:b/>
                <w:color w:val="auto"/>
                <w:shd w:val="clear" w:color="auto" w:fill="FFFFFF"/>
              </w:rPr>
              <w:t xml:space="preserve"> </w:t>
            </w:r>
            <w:r w:rsidR="00A73087">
              <w:rPr>
                <w:b/>
                <w:color w:val="auto"/>
                <w:shd w:val="clear" w:color="auto" w:fill="FFFFFF"/>
              </w:rPr>
              <w:t>Оператор</w:t>
            </w:r>
            <w:r w:rsidRPr="00B452A9">
              <w:rPr>
                <w:b/>
                <w:color w:val="auto"/>
                <w:shd w:val="clear" w:color="auto" w:fill="FFFFFF"/>
              </w:rPr>
              <w:t xml:space="preserve"> </w:t>
            </w:r>
            <w:r w:rsidR="00374B73" w:rsidRPr="008B6BE1">
              <w:rPr>
                <w:shd w:val="clear" w:color="auto" w:fill="FFFFFF"/>
              </w:rPr>
              <w:t>–</w:t>
            </w:r>
            <w:r w:rsidRPr="00B452A9">
              <w:rPr>
                <w:b/>
                <w:color w:val="auto"/>
                <w:shd w:val="clear" w:color="auto" w:fill="FFFFFF"/>
              </w:rPr>
              <w:t xml:space="preserve"> банк, </w:t>
            </w:r>
            <w:r w:rsidR="00A73087">
              <w:rPr>
                <w:b/>
                <w:color w:val="auto"/>
                <w:shd w:val="clear" w:color="auto" w:fill="FFFFFF"/>
              </w:rPr>
              <w:t>що є</w:t>
            </w:r>
            <w:r w:rsidRPr="00B452A9">
              <w:rPr>
                <w:b/>
                <w:color w:val="auto"/>
                <w:shd w:val="clear" w:color="auto" w:fill="FFFFFF"/>
              </w:rPr>
              <w:t xml:space="preserve"> оператор</w:t>
            </w:r>
            <w:r w:rsidR="00A73087">
              <w:rPr>
                <w:b/>
                <w:color w:val="auto"/>
                <w:shd w:val="clear" w:color="auto" w:fill="FFFFFF"/>
              </w:rPr>
              <w:t>ом</w:t>
            </w:r>
            <w:r w:rsidRPr="00B452A9">
              <w:rPr>
                <w:b/>
                <w:color w:val="auto"/>
                <w:shd w:val="clear" w:color="auto" w:fill="FFFFFF"/>
              </w:rPr>
              <w:t xml:space="preserve"> критичної інфраструктури фінансового сектору відповідно до Положення про критичну інфраструктуру фінансового сектору, затвердженого постановою Правління Національного банку України від 27 червня 2025 року № 69</w:t>
            </w:r>
            <w:r w:rsidR="003B3E85">
              <w:rPr>
                <w:b/>
                <w:color w:val="auto"/>
                <w:shd w:val="clear" w:color="auto" w:fill="FFFFFF"/>
              </w:rPr>
              <w:t xml:space="preserve"> (далі – Положення № 69)</w:t>
            </w:r>
            <w:r w:rsidRPr="00B452A9">
              <w:rPr>
                <w:b/>
                <w:color w:val="auto"/>
                <w:shd w:val="clear" w:color="auto" w:fill="FFFFFF"/>
              </w:rPr>
              <w:t>;</w:t>
            </w:r>
          </w:p>
        </w:tc>
      </w:tr>
      <w:tr w:rsidR="00B452A9" w:rsidRPr="00B452A9" w14:paraId="06A65BCE" w14:textId="77777777" w:rsidTr="00B0775C">
        <w:tc>
          <w:tcPr>
            <w:tcW w:w="7508" w:type="dxa"/>
          </w:tcPr>
          <w:p w14:paraId="578CB291" w14:textId="1A43C6C1" w:rsidR="009F59D0" w:rsidRPr="00B452A9" w:rsidRDefault="009F59D0" w:rsidP="009F59D0">
            <w:pPr>
              <w:ind w:firstLine="731"/>
              <w:rPr>
                <w:color w:val="auto"/>
                <w:shd w:val="clear" w:color="auto" w:fill="FFFFFF"/>
              </w:rPr>
            </w:pPr>
            <w:r w:rsidRPr="00B452A9">
              <w:rPr>
                <w:strike/>
                <w:color w:val="auto"/>
                <w:shd w:val="clear" w:color="auto" w:fill="FFFFFF"/>
              </w:rPr>
              <w:t>1</w:t>
            </w:r>
            <w:r w:rsidRPr="00B452A9">
              <w:rPr>
                <w:color w:val="auto"/>
                <w:shd w:val="clear" w:color="auto" w:fill="FFFFFF"/>
              </w:rPr>
              <w:t>) довірені внутрішні джерела інформації - Центр кіберзахисту Національного банку України (далі - Центр кіберзахисту), команда реагування на кіберінциденти в банківській системі України (CSIRT-NBU, англійською мовою Computer Security Incident Response Team of the National Bank of Ukraine), що входить до складу Центру кіберзахисту, банки України;</w:t>
            </w:r>
          </w:p>
        </w:tc>
        <w:tc>
          <w:tcPr>
            <w:tcW w:w="7088" w:type="dxa"/>
          </w:tcPr>
          <w:p w14:paraId="4BAB5345" w14:textId="6D70F336" w:rsidR="009F59D0" w:rsidRPr="00B452A9" w:rsidRDefault="009F59D0" w:rsidP="00932340">
            <w:pPr>
              <w:tabs>
                <w:tab w:val="left" w:pos="1134"/>
              </w:tabs>
              <w:ind w:firstLine="460"/>
              <w:rPr>
                <w:color w:val="auto"/>
                <w:shd w:val="clear" w:color="auto" w:fill="FFFFFF"/>
              </w:rPr>
            </w:pPr>
            <w:r w:rsidRPr="00B452A9">
              <w:rPr>
                <w:b/>
                <w:color w:val="auto"/>
                <w:shd w:val="clear" w:color="auto" w:fill="FFFFFF"/>
              </w:rPr>
              <w:t>1</w:t>
            </w:r>
            <w:r w:rsidRPr="00B452A9">
              <w:rPr>
                <w:b/>
                <w:color w:val="auto"/>
                <w:shd w:val="clear" w:color="auto" w:fill="FFFFFF"/>
                <w:vertAlign w:val="superscript"/>
              </w:rPr>
              <w:t>1</w:t>
            </w:r>
            <w:r w:rsidRPr="00B452A9">
              <w:rPr>
                <w:color w:val="auto"/>
                <w:shd w:val="clear" w:color="auto" w:fill="FFFFFF"/>
              </w:rPr>
              <w:t>) довірені внутрішні джерела інформації - Центр кіберзахисту Національного банку України (далі - Центр кіберзахисту), команда реагування на кіберінциденти в банківській системі України (CSIRT-NBU, англійською мовою Computer Security Incident Response Team of the National Bank of Ukraine), що входить до складу Центру кіберзахисту, банки України;</w:t>
            </w:r>
          </w:p>
        </w:tc>
      </w:tr>
      <w:tr w:rsidR="00F5143E" w:rsidRPr="00B452A9" w14:paraId="3CB3FC23" w14:textId="77777777" w:rsidTr="00B0775C">
        <w:tc>
          <w:tcPr>
            <w:tcW w:w="7508" w:type="dxa"/>
          </w:tcPr>
          <w:p w14:paraId="3B08CA10" w14:textId="380D1730" w:rsidR="00F5143E" w:rsidRPr="00F5143E" w:rsidRDefault="00F5143E" w:rsidP="00F5143E">
            <w:pPr>
              <w:pStyle w:val="a4"/>
              <w:numPr>
                <w:ilvl w:val="0"/>
                <w:numId w:val="22"/>
              </w:numPr>
              <w:shd w:val="clear" w:color="auto" w:fill="FFFFFF"/>
              <w:tabs>
                <w:tab w:val="left" w:pos="720"/>
                <w:tab w:val="left" w:pos="1134"/>
              </w:tabs>
              <w:spacing w:line="240" w:lineRule="auto"/>
              <w:ind w:left="0" w:firstLine="601"/>
              <w:rPr>
                <w:shd w:val="clear" w:color="auto" w:fill="FFFFFF"/>
                <w:lang w:val="uk-UA"/>
              </w:rPr>
            </w:pPr>
            <w:r w:rsidRPr="00A32D90">
              <w:rPr>
                <w:rFonts w:eastAsia="Times New Roman" w:cs="Times New Roman"/>
                <w:shd w:val="clear" w:color="auto" w:fill="FFFFFF"/>
                <w:lang w:val="uk-UA"/>
              </w:rPr>
              <w:t xml:space="preserve">довірені зовнішні джерела інформації – вітчизняні, іноземні та міжнародні команди (центри, групи) реагування на кіберінциденти, ключові постачальники послуг, взаємодія </w:t>
            </w:r>
            <w:r w:rsidRPr="00A32D90">
              <w:rPr>
                <w:rFonts w:eastAsia="Times New Roman" w:cs="Times New Roman"/>
                <w:shd w:val="clear" w:color="auto" w:fill="FFFFFF"/>
                <w:lang w:val="uk-UA"/>
              </w:rPr>
              <w:lastRenderedPageBreak/>
              <w:t>з якими здійснюється на підставі укладених угод (меморандумів) та асоціацій, участь у роботі яких здійснюється на правах офіційного членства;</w:t>
            </w:r>
          </w:p>
        </w:tc>
        <w:tc>
          <w:tcPr>
            <w:tcW w:w="7088" w:type="dxa"/>
          </w:tcPr>
          <w:p w14:paraId="5B3C8B2C" w14:textId="73F2AEFF" w:rsidR="00F5143E" w:rsidRPr="00B452A9" w:rsidRDefault="00F5143E" w:rsidP="00F5143E">
            <w:pPr>
              <w:tabs>
                <w:tab w:val="left" w:pos="1134"/>
              </w:tabs>
              <w:ind w:firstLine="460"/>
              <w:rPr>
                <w:b/>
                <w:color w:val="auto"/>
                <w:shd w:val="clear" w:color="auto" w:fill="FFFFFF"/>
              </w:rPr>
            </w:pPr>
            <w:r>
              <w:rPr>
                <w:shd w:val="clear" w:color="auto" w:fill="FFFFFF"/>
              </w:rPr>
              <w:lastRenderedPageBreak/>
              <w:t xml:space="preserve">2) </w:t>
            </w:r>
            <w:r w:rsidRPr="00A32D90">
              <w:rPr>
                <w:shd w:val="clear" w:color="auto" w:fill="FFFFFF"/>
              </w:rPr>
              <w:t xml:space="preserve">довірені зовнішні джерела інформації – вітчизняні, іноземні та міжнародні команди (центри, групи) реагування на кіберінциденти, ключові постачальники </w:t>
            </w:r>
            <w:r w:rsidRPr="00A32D90">
              <w:rPr>
                <w:shd w:val="clear" w:color="auto" w:fill="FFFFFF"/>
              </w:rPr>
              <w:lastRenderedPageBreak/>
              <w:t>послуг, взаємодія з якими здійснюється на підставі укладених угод (меморандумів) та асоціацій, участь у роботі яких здійснюється на правах офіційного членства;</w:t>
            </w:r>
          </w:p>
        </w:tc>
      </w:tr>
      <w:tr w:rsidR="00F5143E" w:rsidRPr="00B452A9" w14:paraId="4CCDFB17" w14:textId="77777777" w:rsidTr="00B0775C">
        <w:tc>
          <w:tcPr>
            <w:tcW w:w="7508" w:type="dxa"/>
          </w:tcPr>
          <w:p w14:paraId="0EEAB61F" w14:textId="694D5C22" w:rsidR="00F5143E" w:rsidRPr="00A32D90" w:rsidRDefault="00F5143E" w:rsidP="00F5143E">
            <w:pPr>
              <w:rPr>
                <w:color w:val="auto"/>
                <w:shd w:val="clear" w:color="auto" w:fill="FFFFFF"/>
              </w:rPr>
            </w:pPr>
            <w:r w:rsidRPr="00A32D90">
              <w:rPr>
                <w:color w:val="auto"/>
                <w:shd w:val="clear" w:color="auto" w:fill="FFFFFF"/>
              </w:rPr>
              <w:lastRenderedPageBreak/>
              <w:t>3)</w:t>
            </w:r>
            <w:r w:rsidRPr="00A32D90">
              <w:rPr>
                <w:color w:val="auto"/>
                <w:shd w:val="clear" w:color="auto" w:fill="FFFFFF"/>
              </w:rPr>
              <w:tab/>
              <w:t>ЄДБО – Єдиний договір банківського обслуговування та надання інших послуг Національним банком України (далі – Національний банк);</w:t>
            </w:r>
          </w:p>
        </w:tc>
        <w:tc>
          <w:tcPr>
            <w:tcW w:w="7088" w:type="dxa"/>
          </w:tcPr>
          <w:p w14:paraId="5D597AEF" w14:textId="7AD17355" w:rsidR="00F5143E" w:rsidRPr="00F5143E" w:rsidRDefault="00F5143E" w:rsidP="00F5143E">
            <w:pPr>
              <w:tabs>
                <w:tab w:val="left" w:pos="1134"/>
              </w:tabs>
              <w:ind w:firstLine="460"/>
              <w:rPr>
                <w:color w:val="auto"/>
                <w:shd w:val="clear" w:color="auto" w:fill="FFFFFF"/>
              </w:rPr>
            </w:pPr>
            <w:r w:rsidRPr="00F5143E">
              <w:rPr>
                <w:color w:val="auto"/>
                <w:shd w:val="clear" w:color="auto" w:fill="FFFFFF"/>
              </w:rPr>
              <w:t>3)</w:t>
            </w:r>
            <w:r w:rsidRPr="00F5143E">
              <w:rPr>
                <w:color w:val="auto"/>
                <w:shd w:val="clear" w:color="auto" w:fill="FFFFFF"/>
              </w:rPr>
              <w:tab/>
              <w:t>ЄДБО – Єдиний договір банківського обслуговування та надання інших послуг Національним банком України (далі – Національний банк);</w:t>
            </w:r>
          </w:p>
        </w:tc>
      </w:tr>
      <w:tr w:rsidR="00F5143E" w:rsidRPr="00B452A9" w14:paraId="64D54B38" w14:textId="77777777" w:rsidTr="00B0775C">
        <w:tc>
          <w:tcPr>
            <w:tcW w:w="7508" w:type="dxa"/>
          </w:tcPr>
          <w:p w14:paraId="1A9976EE" w14:textId="5AD0D573" w:rsidR="00F5143E" w:rsidRPr="00A32D90" w:rsidRDefault="00F5143E" w:rsidP="00F5143E">
            <w:pPr>
              <w:ind w:firstLine="731"/>
              <w:rPr>
                <w:color w:val="auto"/>
                <w:shd w:val="clear" w:color="auto" w:fill="FFFFFF"/>
              </w:rPr>
            </w:pPr>
            <w:r w:rsidRPr="00A32D90">
              <w:rPr>
                <w:color w:val="auto"/>
                <w:shd w:val="clear" w:color="auto" w:fill="FFFFFF"/>
              </w:rPr>
              <w:t>3</w:t>
            </w:r>
            <w:r w:rsidRPr="00A32D90">
              <w:rPr>
                <w:color w:val="auto"/>
                <w:shd w:val="clear" w:color="auto" w:fill="FFFFFF"/>
                <w:vertAlign w:val="superscript"/>
              </w:rPr>
              <w:t>1</w:t>
            </w:r>
            <w:r w:rsidRPr="00A32D90">
              <w:rPr>
                <w:color w:val="auto"/>
                <w:shd w:val="clear" w:color="auto" w:fill="FFFFFF"/>
              </w:rPr>
              <w:t>) значний кіберінцидент – подія або ряд несприятливих подій ненавмисного характеру та/або таких, що мають ознаки можливої (потенційної) кібератаки, рівень критичності яких суттєво загрожує штатному функціонуванню інформаційних систем банку, що безпосередньо забезпечують автоматизацію банківської діяльності, та мають значний негативний вплив на надання банківських послуг, який може призвести до зміни функціональних можливостей таких послуг або робить їх недоступними;</w:t>
            </w:r>
          </w:p>
        </w:tc>
        <w:tc>
          <w:tcPr>
            <w:tcW w:w="7088" w:type="dxa"/>
          </w:tcPr>
          <w:p w14:paraId="0C744DB2" w14:textId="1717163C" w:rsidR="00F5143E" w:rsidRPr="00F5143E" w:rsidRDefault="00F5143E" w:rsidP="00F5143E">
            <w:pPr>
              <w:tabs>
                <w:tab w:val="left" w:pos="1134"/>
              </w:tabs>
              <w:ind w:firstLine="460"/>
              <w:rPr>
                <w:color w:val="auto"/>
                <w:shd w:val="clear" w:color="auto" w:fill="FFFFFF"/>
              </w:rPr>
            </w:pPr>
            <w:r w:rsidRPr="00A32D90">
              <w:rPr>
                <w:color w:val="auto"/>
                <w:shd w:val="clear" w:color="auto" w:fill="FFFFFF"/>
              </w:rPr>
              <w:t>3</w:t>
            </w:r>
            <w:r w:rsidRPr="00A32D90">
              <w:rPr>
                <w:color w:val="auto"/>
                <w:shd w:val="clear" w:color="auto" w:fill="FFFFFF"/>
                <w:vertAlign w:val="superscript"/>
              </w:rPr>
              <w:t>1</w:t>
            </w:r>
            <w:r w:rsidRPr="00A32D90">
              <w:rPr>
                <w:color w:val="auto"/>
                <w:shd w:val="clear" w:color="auto" w:fill="FFFFFF"/>
              </w:rPr>
              <w:t>) значний кіберінцидент – подія або ряд несприятливих подій ненавмисного характеру та/або таких, що мають ознаки можливої (потенційної) кібератаки, рівень критичності яких суттєво загрожує штатному функціонуванню інформаційних систем банку, що безпосередньо забезпечують автоматизацію банківської діяльності, та мають значний негативний вплив на надання банківських послуг, який може призвести до зміни функціональних можливостей таких послуг або робить їх недоступними;</w:t>
            </w:r>
          </w:p>
        </w:tc>
      </w:tr>
      <w:tr w:rsidR="00F5143E" w:rsidRPr="00B452A9" w14:paraId="50DF63E4" w14:textId="77777777" w:rsidTr="00B0775C">
        <w:tc>
          <w:tcPr>
            <w:tcW w:w="7508" w:type="dxa"/>
          </w:tcPr>
          <w:p w14:paraId="224C3E43" w14:textId="0FF2AE1A" w:rsidR="00F5143E" w:rsidRPr="00A32D90" w:rsidRDefault="00F5143E" w:rsidP="00F5143E">
            <w:pPr>
              <w:ind w:firstLine="731"/>
              <w:rPr>
                <w:color w:val="auto"/>
                <w:shd w:val="clear" w:color="auto" w:fill="FFFFFF"/>
              </w:rPr>
            </w:pPr>
            <w:r w:rsidRPr="00A32D90">
              <w:rPr>
                <w:color w:val="auto"/>
                <w:shd w:val="clear" w:color="auto" w:fill="FFFFFF"/>
              </w:rPr>
              <w:t>4)</w:t>
            </w:r>
            <w:r w:rsidRPr="00A32D90">
              <w:rPr>
                <w:color w:val="auto"/>
                <w:shd w:val="clear" w:color="auto" w:fill="FFFFFF"/>
              </w:rPr>
              <w:tab/>
              <w:t>інформація загальноорганізаційного характеру – інформація, що поширюється під час інформаційного обміну, містить описи національних та міжнародних стандартів, інноваційних методик та практики з питань кіберзахисту, світового та вітчизняного досвіду у сфері кібербезпеки та кіберзахисту, посилання на джерела такої інформації;</w:t>
            </w:r>
          </w:p>
        </w:tc>
        <w:tc>
          <w:tcPr>
            <w:tcW w:w="7088" w:type="dxa"/>
          </w:tcPr>
          <w:p w14:paraId="61FD6382" w14:textId="6BBCB138" w:rsidR="00F5143E" w:rsidRPr="00B452A9" w:rsidRDefault="00F5143E" w:rsidP="00F5143E">
            <w:pPr>
              <w:tabs>
                <w:tab w:val="left" w:pos="1134"/>
              </w:tabs>
              <w:ind w:firstLine="460"/>
              <w:rPr>
                <w:b/>
                <w:color w:val="auto"/>
                <w:shd w:val="clear" w:color="auto" w:fill="FFFFFF"/>
              </w:rPr>
            </w:pPr>
            <w:r w:rsidRPr="00A32D90">
              <w:rPr>
                <w:color w:val="auto"/>
                <w:shd w:val="clear" w:color="auto" w:fill="FFFFFF"/>
              </w:rPr>
              <w:t>4)</w:t>
            </w:r>
            <w:r w:rsidRPr="00A32D90">
              <w:rPr>
                <w:color w:val="auto"/>
                <w:shd w:val="clear" w:color="auto" w:fill="FFFFFF"/>
              </w:rPr>
              <w:tab/>
              <w:t>інформація загальноорганізаційного характеру – інформація, що поширюється під час інформаційного обміну, містить описи національних та міжнародних стандартів, інноваційних методик та практики з питань кіберзахисту, світового та вітчизняного досвіду у сфері кібербезпеки та кіберзахисту, посилання на джерела такої інформації;</w:t>
            </w:r>
          </w:p>
        </w:tc>
      </w:tr>
      <w:tr w:rsidR="00F5143E" w:rsidRPr="00B452A9" w14:paraId="34CDA936" w14:textId="77777777" w:rsidTr="00B0775C">
        <w:tc>
          <w:tcPr>
            <w:tcW w:w="7508" w:type="dxa"/>
          </w:tcPr>
          <w:p w14:paraId="3F8B1027" w14:textId="09BB0C0A" w:rsidR="00F5143E" w:rsidRPr="00A32D90" w:rsidRDefault="00F5143E" w:rsidP="00F5143E">
            <w:pPr>
              <w:ind w:firstLine="731"/>
              <w:rPr>
                <w:color w:val="auto"/>
                <w:shd w:val="clear" w:color="auto" w:fill="FFFFFF"/>
              </w:rPr>
            </w:pPr>
            <w:r w:rsidRPr="00A32D90">
              <w:rPr>
                <w:color w:val="auto"/>
                <w:shd w:val="clear" w:color="auto" w:fill="FFFFFF"/>
              </w:rPr>
              <w:t>5)</w:t>
            </w:r>
            <w:r w:rsidRPr="00A32D90">
              <w:rPr>
                <w:color w:val="auto"/>
                <w:shd w:val="clear" w:color="auto" w:fill="FFFFFF"/>
              </w:rPr>
              <w:tab/>
              <w:t xml:space="preserve">інформація технічного характеру – інформація, що поширюється під час інформаційного обміну та містить відомості про зразки програмного забезпечення, його вразливості та профілі безпечного налаштування, відомості </w:t>
            </w:r>
            <w:r w:rsidRPr="00A32D90">
              <w:rPr>
                <w:color w:val="auto"/>
                <w:shd w:val="clear" w:color="auto" w:fill="FFFFFF"/>
              </w:rPr>
              <w:lastRenderedPageBreak/>
              <w:t>про зразки апаратних, програмних та апаратно-програмних комплексів і систем кіберзахисту, профілі їх налаштування, описи зразків шкідливого програмного забезпечення та наслідків їх роботи, рекомендації щодо заходів реагування, протидії та нейтралізації наслідків роботи останніх, індикатори кіберзагроз, повідомлення про кібератаки та/або кіберінциденти, рекомендації про необхідність або застереження (заборону) вжиття відповідних заходів;</w:t>
            </w:r>
          </w:p>
        </w:tc>
        <w:tc>
          <w:tcPr>
            <w:tcW w:w="7088" w:type="dxa"/>
          </w:tcPr>
          <w:p w14:paraId="54F77844" w14:textId="3CA2D737" w:rsidR="00F5143E" w:rsidRPr="00B452A9" w:rsidRDefault="00F5143E" w:rsidP="00F5143E">
            <w:pPr>
              <w:tabs>
                <w:tab w:val="left" w:pos="1134"/>
              </w:tabs>
              <w:ind w:firstLine="460"/>
              <w:rPr>
                <w:b/>
                <w:color w:val="auto"/>
                <w:shd w:val="clear" w:color="auto" w:fill="FFFFFF"/>
              </w:rPr>
            </w:pPr>
            <w:r w:rsidRPr="00A32D90">
              <w:rPr>
                <w:color w:val="auto"/>
                <w:shd w:val="clear" w:color="auto" w:fill="FFFFFF"/>
              </w:rPr>
              <w:lastRenderedPageBreak/>
              <w:t>5)</w:t>
            </w:r>
            <w:r w:rsidRPr="00A32D90">
              <w:rPr>
                <w:color w:val="auto"/>
                <w:shd w:val="clear" w:color="auto" w:fill="FFFFFF"/>
              </w:rPr>
              <w:tab/>
              <w:t xml:space="preserve">інформація технічного характеру – інформація, що поширюється під час інформаційного обміну та містить відомості про зразки програмного забезпечення, його вразливості та профілі безпечного налаштування, </w:t>
            </w:r>
            <w:r w:rsidRPr="00A32D90">
              <w:rPr>
                <w:color w:val="auto"/>
                <w:shd w:val="clear" w:color="auto" w:fill="FFFFFF"/>
              </w:rPr>
              <w:lastRenderedPageBreak/>
              <w:t>відомості про зразки апаратних, програмних та апаратно-програмних комплексів і систем кіберзахисту, профілі їх налаштування, описи зразків шкідливого програмного забезпечення та наслідків їх роботи, рекомендації щодо заходів реагування, протидії та нейтралізації наслідків роботи останніх, індикатори кіберзагроз, повідомлення про кібератаки та/або кіберінциденти, рекомендації про необхідність або застереження (заборону) вжиття відповідних заходів;</w:t>
            </w:r>
          </w:p>
        </w:tc>
      </w:tr>
      <w:tr w:rsidR="00F5143E" w:rsidRPr="00B452A9" w14:paraId="62F4A89B" w14:textId="77777777" w:rsidTr="00B0775C">
        <w:tc>
          <w:tcPr>
            <w:tcW w:w="7508" w:type="dxa"/>
          </w:tcPr>
          <w:p w14:paraId="7A2E1434" w14:textId="46FA2F58" w:rsidR="00F5143E" w:rsidRPr="00B452A9" w:rsidRDefault="00F5143E" w:rsidP="00F5143E">
            <w:pPr>
              <w:ind w:firstLine="731"/>
              <w:rPr>
                <w:strike/>
                <w:color w:val="auto"/>
                <w:shd w:val="clear" w:color="auto" w:fill="FFFFFF"/>
              </w:rPr>
            </w:pPr>
            <w:r w:rsidRPr="00B452A9">
              <w:rPr>
                <w:strike/>
                <w:color w:val="auto"/>
                <w:shd w:val="clear" w:color="auto" w:fill="FFFFFF"/>
              </w:rPr>
              <w:lastRenderedPageBreak/>
              <w:t>6) критична інформаційна інфраструктура - сукупність об'єктів критичної інформаційної інфраструктури банку, визначена об'єктом критичної інфраструктури в банківській системі України;</w:t>
            </w:r>
          </w:p>
        </w:tc>
        <w:tc>
          <w:tcPr>
            <w:tcW w:w="7088" w:type="dxa"/>
          </w:tcPr>
          <w:p w14:paraId="54C9F624" w14:textId="77777777" w:rsidR="00F5143E" w:rsidRPr="00B452A9" w:rsidRDefault="00F5143E" w:rsidP="00F5143E">
            <w:pPr>
              <w:tabs>
                <w:tab w:val="left" w:pos="1134"/>
              </w:tabs>
              <w:ind w:firstLine="602"/>
              <w:rPr>
                <w:b/>
                <w:color w:val="auto"/>
              </w:rPr>
            </w:pPr>
          </w:p>
        </w:tc>
      </w:tr>
      <w:tr w:rsidR="00F5143E" w:rsidRPr="00B452A9" w14:paraId="56823B2E" w14:textId="77777777" w:rsidTr="00B0775C">
        <w:tc>
          <w:tcPr>
            <w:tcW w:w="7508" w:type="dxa"/>
          </w:tcPr>
          <w:p w14:paraId="105D03BE" w14:textId="77777777" w:rsidR="00F5143E" w:rsidRPr="00B452A9" w:rsidRDefault="00F5143E" w:rsidP="00F5143E">
            <w:pPr>
              <w:ind w:firstLine="731"/>
              <w:rPr>
                <w:strike/>
                <w:color w:val="auto"/>
                <w:shd w:val="clear" w:color="auto" w:fill="FFFFFF"/>
              </w:rPr>
            </w:pPr>
            <w:r w:rsidRPr="00B452A9">
              <w:rPr>
                <w:strike/>
                <w:color w:val="auto"/>
                <w:shd w:val="clear" w:color="auto" w:fill="FFFFFF"/>
              </w:rPr>
              <w:t xml:space="preserve">7) об'єкт критичної інформаційної інфраструктури - інформаційна система об'єкта критичної інфраструктури в банківській системі України, кібератака на яку безпосередньо вплине на стале функціонування такого об'єкта критичної інфраструктури; </w:t>
            </w:r>
          </w:p>
        </w:tc>
        <w:tc>
          <w:tcPr>
            <w:tcW w:w="7088" w:type="dxa"/>
          </w:tcPr>
          <w:p w14:paraId="5B65412D" w14:textId="77777777" w:rsidR="00F5143E" w:rsidRPr="00B452A9" w:rsidRDefault="00F5143E" w:rsidP="00F5143E">
            <w:pPr>
              <w:tabs>
                <w:tab w:val="left" w:pos="1134"/>
              </w:tabs>
              <w:ind w:firstLine="602"/>
              <w:rPr>
                <w:b/>
                <w:color w:val="auto"/>
              </w:rPr>
            </w:pPr>
          </w:p>
        </w:tc>
      </w:tr>
      <w:tr w:rsidR="00F5143E" w:rsidRPr="00B452A9" w14:paraId="5284D7B7" w14:textId="77777777" w:rsidTr="00B0775C">
        <w:tc>
          <w:tcPr>
            <w:tcW w:w="7508" w:type="dxa"/>
          </w:tcPr>
          <w:p w14:paraId="60991957" w14:textId="27629A71" w:rsidR="00F5143E" w:rsidRPr="00B671BD" w:rsidRDefault="00F5143E" w:rsidP="00F5143E">
            <w:pPr>
              <w:ind w:firstLine="731"/>
              <w:rPr>
                <w:color w:val="auto"/>
                <w:shd w:val="clear" w:color="auto" w:fill="FFFFFF"/>
              </w:rPr>
            </w:pPr>
            <w:r w:rsidRPr="00B671BD">
              <w:rPr>
                <w:color w:val="auto"/>
                <w:shd w:val="clear" w:color="auto" w:fill="FFFFFF"/>
              </w:rPr>
              <w:t>8)</w:t>
            </w:r>
            <w:r w:rsidRPr="00B671BD">
              <w:rPr>
                <w:color w:val="auto"/>
                <w:shd w:val="clear" w:color="auto" w:fill="FFFFFF"/>
              </w:rPr>
              <w:tab/>
              <w:t>портал Центру кіберзахисту Національного банку – спеціалізований сайт Національного банку, створений для організації роботи та надання сервісів Центром кіберзахисту, що доступний за посиланням https://cyber.bank.gov.ua/ (далі – портал Центру кіберзахисту);</w:t>
            </w:r>
          </w:p>
        </w:tc>
        <w:tc>
          <w:tcPr>
            <w:tcW w:w="7088" w:type="dxa"/>
          </w:tcPr>
          <w:p w14:paraId="6C6DFCB7" w14:textId="4A623697" w:rsidR="00F5143E" w:rsidRPr="00B452A9" w:rsidRDefault="00F5143E" w:rsidP="00F5143E">
            <w:pPr>
              <w:tabs>
                <w:tab w:val="left" w:pos="1134"/>
              </w:tabs>
              <w:ind w:firstLine="602"/>
              <w:rPr>
                <w:b/>
                <w:color w:val="auto"/>
              </w:rPr>
            </w:pPr>
            <w:r w:rsidRPr="00B671BD">
              <w:rPr>
                <w:color w:val="auto"/>
                <w:shd w:val="clear" w:color="auto" w:fill="FFFFFF"/>
              </w:rPr>
              <w:t>8)</w:t>
            </w:r>
            <w:r w:rsidRPr="00B671BD">
              <w:rPr>
                <w:color w:val="auto"/>
                <w:shd w:val="clear" w:color="auto" w:fill="FFFFFF"/>
              </w:rPr>
              <w:tab/>
              <w:t>портал Центру кіберзахисту Національного банку – спеціалізований сайт Національного банку, створений для організації роботи та надання сервісів Центром кіберзахисту, що доступний за посиланням https://cyber.bank.gov.ua/ (далі – портал Центру кіберзахисту);</w:t>
            </w:r>
          </w:p>
        </w:tc>
      </w:tr>
      <w:tr w:rsidR="00F5143E" w:rsidRPr="00B452A9" w14:paraId="4559EF69" w14:textId="77777777" w:rsidTr="00B0775C">
        <w:tc>
          <w:tcPr>
            <w:tcW w:w="7508" w:type="dxa"/>
          </w:tcPr>
          <w:p w14:paraId="6F803498" w14:textId="72A69B7D" w:rsidR="00F5143E" w:rsidRPr="00B452A9" w:rsidRDefault="00F5143E" w:rsidP="00F5143E">
            <w:pPr>
              <w:ind w:firstLine="731"/>
              <w:rPr>
                <w:strike/>
                <w:color w:val="auto"/>
                <w:shd w:val="clear" w:color="auto" w:fill="FFFFFF"/>
              </w:rPr>
            </w:pPr>
            <w:r w:rsidRPr="00B452A9">
              <w:rPr>
                <w:strike/>
                <w:color w:val="auto"/>
                <w:shd w:val="clear" w:color="auto" w:fill="FFFFFF"/>
              </w:rPr>
              <w:t xml:space="preserve">9) реєстр об'єктів критичної інформаційної інфраструктури - відомості про інформаційні системи, які </w:t>
            </w:r>
            <w:r w:rsidRPr="00B452A9">
              <w:rPr>
                <w:strike/>
                <w:color w:val="auto"/>
                <w:shd w:val="clear" w:color="auto" w:fill="FFFFFF"/>
              </w:rPr>
              <w:lastRenderedPageBreak/>
              <w:t>відповідно до вимог цього Положення віднесено до об'єктів критичної інформаційної інфраструктури;</w:t>
            </w:r>
          </w:p>
        </w:tc>
        <w:tc>
          <w:tcPr>
            <w:tcW w:w="7088" w:type="dxa"/>
          </w:tcPr>
          <w:p w14:paraId="246EAFC5" w14:textId="77777777" w:rsidR="00F5143E" w:rsidRPr="00B452A9" w:rsidRDefault="00F5143E" w:rsidP="00F5143E">
            <w:pPr>
              <w:tabs>
                <w:tab w:val="left" w:pos="1134"/>
              </w:tabs>
              <w:ind w:firstLine="602"/>
              <w:rPr>
                <w:b/>
                <w:color w:val="auto"/>
              </w:rPr>
            </w:pPr>
          </w:p>
        </w:tc>
      </w:tr>
      <w:tr w:rsidR="00F5143E" w:rsidRPr="00B452A9" w14:paraId="4D971DA9" w14:textId="77777777" w:rsidTr="00B0775C">
        <w:tc>
          <w:tcPr>
            <w:tcW w:w="7508" w:type="dxa"/>
          </w:tcPr>
          <w:p w14:paraId="6191E74F" w14:textId="6F958237" w:rsidR="00F5143E" w:rsidRPr="00B671BD" w:rsidRDefault="00F5143E" w:rsidP="00F5143E">
            <w:pPr>
              <w:ind w:firstLine="731"/>
              <w:rPr>
                <w:color w:val="auto"/>
                <w:shd w:val="clear" w:color="auto" w:fill="FFFFFF"/>
              </w:rPr>
            </w:pPr>
            <w:r w:rsidRPr="00B671BD">
              <w:rPr>
                <w:color w:val="auto"/>
                <w:shd w:val="clear" w:color="auto" w:fill="FFFFFF"/>
              </w:rPr>
              <w:t>9</w:t>
            </w:r>
            <w:r w:rsidRPr="00B671BD">
              <w:rPr>
                <w:color w:val="auto"/>
                <w:shd w:val="clear" w:color="auto" w:fill="FFFFFF"/>
                <w:vertAlign w:val="superscript"/>
              </w:rPr>
              <w:t>1</w:t>
            </w:r>
            <w:r w:rsidRPr="00B671BD">
              <w:rPr>
                <w:color w:val="auto"/>
                <w:shd w:val="clear" w:color="auto" w:fill="FFFFFF"/>
              </w:rPr>
              <w:t>) рівень критичності кіберінциденту – ступень негативного впливу на банк та/або суб’єктів системи кіберзахисту в банківській системі України, що може відбутися в результаті реалізації кіберзагроз;</w:t>
            </w:r>
          </w:p>
        </w:tc>
        <w:tc>
          <w:tcPr>
            <w:tcW w:w="7088" w:type="dxa"/>
          </w:tcPr>
          <w:p w14:paraId="3563B803" w14:textId="28A34E33" w:rsidR="00F5143E" w:rsidRPr="00B452A9" w:rsidRDefault="00F5143E" w:rsidP="00F5143E">
            <w:pPr>
              <w:tabs>
                <w:tab w:val="left" w:pos="1134"/>
              </w:tabs>
              <w:ind w:firstLine="602"/>
              <w:rPr>
                <w:b/>
                <w:color w:val="auto"/>
              </w:rPr>
            </w:pPr>
            <w:r w:rsidRPr="00B671BD">
              <w:rPr>
                <w:color w:val="auto"/>
                <w:shd w:val="clear" w:color="auto" w:fill="FFFFFF"/>
              </w:rPr>
              <w:t>9</w:t>
            </w:r>
            <w:r w:rsidRPr="00B671BD">
              <w:rPr>
                <w:color w:val="auto"/>
                <w:shd w:val="clear" w:color="auto" w:fill="FFFFFF"/>
                <w:vertAlign w:val="superscript"/>
              </w:rPr>
              <w:t>1</w:t>
            </w:r>
            <w:r w:rsidRPr="00B671BD">
              <w:rPr>
                <w:color w:val="auto"/>
                <w:shd w:val="clear" w:color="auto" w:fill="FFFFFF"/>
              </w:rPr>
              <w:t>) рівень критичності кіберінциденту – ступень негативного впливу на банк та/або суб’єктів системи кіберзахисту в банківській системі України, що може відбутися в результаті реалізації кіберзагроз;</w:t>
            </w:r>
          </w:p>
        </w:tc>
      </w:tr>
      <w:tr w:rsidR="00F5143E" w:rsidRPr="00B452A9" w14:paraId="1435EB44" w14:textId="77777777" w:rsidTr="00B0775C">
        <w:tc>
          <w:tcPr>
            <w:tcW w:w="7508" w:type="dxa"/>
          </w:tcPr>
          <w:p w14:paraId="58DD055C" w14:textId="29A6486B" w:rsidR="00F5143E" w:rsidRPr="00B671BD" w:rsidRDefault="00F5143E" w:rsidP="00F5143E">
            <w:pPr>
              <w:ind w:firstLine="731"/>
              <w:rPr>
                <w:color w:val="auto"/>
                <w:shd w:val="clear" w:color="auto" w:fill="FFFFFF"/>
              </w:rPr>
            </w:pPr>
            <w:r w:rsidRPr="00B671BD">
              <w:rPr>
                <w:color w:val="auto"/>
                <w:shd w:val="clear" w:color="auto" w:fill="FFFFFF"/>
              </w:rPr>
              <w:t>10)</w:t>
            </w:r>
            <w:r w:rsidRPr="00B671BD">
              <w:rPr>
                <w:color w:val="auto"/>
                <w:shd w:val="clear" w:color="auto" w:fill="FFFFFF"/>
              </w:rPr>
              <w:tab/>
              <w:t>система кіберзахисту в банківській системі України – сукупність суб’єктів, упроваджених систем, комплексів та засобів забезпечення кіберзахисту, взаємопов’язаних заходів організаційного, технічного, інформаційного характеру щодо забезпечення належного рівня кібербезпеки та кіберстійкості банківської системи України;</w:t>
            </w:r>
          </w:p>
        </w:tc>
        <w:tc>
          <w:tcPr>
            <w:tcW w:w="7088" w:type="dxa"/>
          </w:tcPr>
          <w:p w14:paraId="32236DBE" w14:textId="1BFBB63F" w:rsidR="00F5143E" w:rsidRPr="00B452A9" w:rsidRDefault="00F5143E" w:rsidP="00F5143E">
            <w:pPr>
              <w:tabs>
                <w:tab w:val="left" w:pos="1134"/>
              </w:tabs>
              <w:ind w:firstLine="602"/>
              <w:rPr>
                <w:b/>
                <w:color w:val="auto"/>
              </w:rPr>
            </w:pPr>
            <w:r w:rsidRPr="00B671BD">
              <w:rPr>
                <w:color w:val="auto"/>
                <w:shd w:val="clear" w:color="auto" w:fill="FFFFFF"/>
              </w:rPr>
              <w:t>10)</w:t>
            </w:r>
            <w:r w:rsidRPr="00B671BD">
              <w:rPr>
                <w:color w:val="auto"/>
                <w:shd w:val="clear" w:color="auto" w:fill="FFFFFF"/>
              </w:rPr>
              <w:tab/>
              <w:t>система кіберзахисту в банківській системі України – сукупність суб’єктів, упроваджених систем, комплексів та засобів забезпечення кіберзахисту, взаємопов’язаних заходів організаційного, технічного, інформаційного характеру щодо забезпечення належного рівня кібербезпеки та кіберстійкості банківської системи України;</w:t>
            </w:r>
          </w:p>
        </w:tc>
      </w:tr>
      <w:tr w:rsidR="00F5143E" w:rsidRPr="00B452A9" w14:paraId="2176CD48" w14:textId="77777777" w:rsidTr="00B0775C">
        <w:tc>
          <w:tcPr>
            <w:tcW w:w="7508" w:type="dxa"/>
          </w:tcPr>
          <w:p w14:paraId="01852041" w14:textId="396E61E4" w:rsidR="00F5143E" w:rsidRPr="00B671BD" w:rsidRDefault="00F5143E" w:rsidP="00F5143E">
            <w:pPr>
              <w:ind w:firstLine="731"/>
              <w:rPr>
                <w:color w:val="auto"/>
                <w:shd w:val="clear" w:color="auto" w:fill="FFFFFF"/>
              </w:rPr>
            </w:pPr>
            <w:r w:rsidRPr="00B671BD">
              <w:rPr>
                <w:color w:val="auto"/>
                <w:shd w:val="clear" w:color="auto" w:fill="FFFFFF"/>
              </w:rPr>
              <w:t>10</w:t>
            </w:r>
            <w:r w:rsidRPr="00B671BD">
              <w:rPr>
                <w:color w:val="auto"/>
                <w:shd w:val="clear" w:color="auto" w:fill="FFFFFF"/>
                <w:vertAlign w:val="superscript"/>
              </w:rPr>
              <w:t>1</w:t>
            </w:r>
            <w:r w:rsidRPr="00B671BD">
              <w:rPr>
                <w:color w:val="auto"/>
                <w:shd w:val="clear" w:color="auto" w:fill="FFFFFF"/>
              </w:rPr>
              <w:t>) системний кіберризик – ризик порушення стабільності банківської системи внаслідок реалізації кіберзагроз щодо окремого банку через відповідні недоліки в його кіберстійкості;</w:t>
            </w:r>
          </w:p>
        </w:tc>
        <w:tc>
          <w:tcPr>
            <w:tcW w:w="7088" w:type="dxa"/>
          </w:tcPr>
          <w:p w14:paraId="6B331342" w14:textId="228B5FD0" w:rsidR="00F5143E" w:rsidRPr="00B452A9" w:rsidRDefault="00F5143E" w:rsidP="00F5143E">
            <w:pPr>
              <w:tabs>
                <w:tab w:val="left" w:pos="1134"/>
              </w:tabs>
              <w:ind w:firstLine="602"/>
              <w:rPr>
                <w:b/>
                <w:color w:val="auto"/>
              </w:rPr>
            </w:pPr>
            <w:r w:rsidRPr="00B671BD">
              <w:rPr>
                <w:color w:val="auto"/>
                <w:shd w:val="clear" w:color="auto" w:fill="FFFFFF"/>
              </w:rPr>
              <w:t>10</w:t>
            </w:r>
            <w:r w:rsidRPr="00B671BD">
              <w:rPr>
                <w:color w:val="auto"/>
                <w:shd w:val="clear" w:color="auto" w:fill="FFFFFF"/>
                <w:vertAlign w:val="superscript"/>
              </w:rPr>
              <w:t>1</w:t>
            </w:r>
            <w:r w:rsidRPr="00B671BD">
              <w:rPr>
                <w:color w:val="auto"/>
                <w:shd w:val="clear" w:color="auto" w:fill="FFFFFF"/>
              </w:rPr>
              <w:t>) системний кіберризик – ризик порушення стабільності банківської системи внаслідок реалізації кіберзагроз щодо окремого банку через відповідні недоліки в його кіберстійкості;</w:t>
            </w:r>
          </w:p>
        </w:tc>
      </w:tr>
      <w:tr w:rsidR="00F5143E" w:rsidRPr="00B452A9" w14:paraId="4E500024" w14:textId="77777777" w:rsidTr="00B0775C">
        <w:tc>
          <w:tcPr>
            <w:tcW w:w="7508" w:type="dxa"/>
          </w:tcPr>
          <w:p w14:paraId="3C1D7BBD" w14:textId="059B5BC8" w:rsidR="00F5143E" w:rsidRPr="00F5143E" w:rsidRDefault="00F5143E" w:rsidP="00F5143E">
            <w:pPr>
              <w:ind w:firstLine="731"/>
              <w:rPr>
                <w:color w:val="auto"/>
                <w:shd w:val="clear" w:color="auto" w:fill="FFFFFF"/>
              </w:rPr>
            </w:pPr>
            <w:r w:rsidRPr="00F5143E">
              <w:rPr>
                <w:color w:val="auto"/>
                <w:shd w:val="clear" w:color="auto" w:fill="FFFFFF"/>
              </w:rPr>
              <w:t>11)</w:t>
            </w:r>
            <w:r w:rsidRPr="00F5143E">
              <w:rPr>
                <w:color w:val="auto"/>
                <w:shd w:val="clear" w:color="auto" w:fill="FFFFFF"/>
              </w:rPr>
              <w:tab/>
              <w:t>MISP-NBU Центру кіберзахисту (англійською мовою Malware Information Sharing Platform of the National Bank of Ukraine) – спеціалізований сайт Національного банку, що побудований на базі платформи з відкритим програмним кодом MISP і доступний за посиланням https://misp.bank.gov.ua/, призначений для організації доступу банків до системи збору, обробки, зберігання і обміну інформацією загальноорганізаційного та технічного характеру в режимі реального часу з урахуванням вимог конфіденційності (далі  – MISP-NBU).</w:t>
            </w:r>
          </w:p>
        </w:tc>
        <w:tc>
          <w:tcPr>
            <w:tcW w:w="7088" w:type="dxa"/>
          </w:tcPr>
          <w:p w14:paraId="5220C5C5" w14:textId="16B39C77" w:rsidR="00F5143E" w:rsidRPr="00B452A9" w:rsidRDefault="00F5143E" w:rsidP="00F5143E">
            <w:pPr>
              <w:tabs>
                <w:tab w:val="left" w:pos="1134"/>
              </w:tabs>
              <w:ind w:firstLine="602"/>
              <w:rPr>
                <w:b/>
                <w:color w:val="auto"/>
              </w:rPr>
            </w:pPr>
            <w:r w:rsidRPr="00F5143E">
              <w:rPr>
                <w:color w:val="auto"/>
                <w:shd w:val="clear" w:color="auto" w:fill="FFFFFF"/>
              </w:rPr>
              <w:t>11)</w:t>
            </w:r>
            <w:r w:rsidRPr="00F5143E">
              <w:rPr>
                <w:color w:val="auto"/>
                <w:shd w:val="clear" w:color="auto" w:fill="FFFFFF"/>
              </w:rPr>
              <w:tab/>
              <w:t xml:space="preserve">MISP-NBU Центру кіберзахисту (англійською мовою Malware Information Sharing Platform of the National Bank of Ukraine) – спеціалізований сайт Національного банку, що побудований на базі платформи з відкритим програмним кодом MISP і доступний за посиланням https://misp.bank.gov.ua/, призначений для організації доступу банків до системи збору, обробки, зберігання і обміну інформацією загальноорганізаційного та технічного характеру в режимі реального часу з </w:t>
            </w:r>
            <w:r w:rsidRPr="00F5143E">
              <w:rPr>
                <w:color w:val="auto"/>
                <w:shd w:val="clear" w:color="auto" w:fill="FFFFFF"/>
              </w:rPr>
              <w:lastRenderedPageBreak/>
              <w:t>урахуванням вимог конфіденційності (далі  – MISP-NBU).</w:t>
            </w:r>
          </w:p>
        </w:tc>
      </w:tr>
      <w:tr w:rsidR="00F5143E" w:rsidRPr="00B452A9" w14:paraId="1BE146A5" w14:textId="77777777" w:rsidTr="00B0775C">
        <w:tc>
          <w:tcPr>
            <w:tcW w:w="7508" w:type="dxa"/>
          </w:tcPr>
          <w:p w14:paraId="19B9CAD2" w14:textId="7EC302D5" w:rsidR="00F5143E" w:rsidRPr="00B452A9" w:rsidRDefault="00F5143E" w:rsidP="00F5143E">
            <w:pPr>
              <w:tabs>
                <w:tab w:val="left" w:pos="993"/>
              </w:tabs>
              <w:autoSpaceDE w:val="0"/>
              <w:autoSpaceDN w:val="0"/>
              <w:adjustRightInd w:val="0"/>
              <w:ind w:firstLine="567"/>
              <w:rPr>
                <w:strike/>
                <w:color w:val="auto"/>
                <w:shd w:val="clear" w:color="auto" w:fill="FFFFFF"/>
              </w:rPr>
            </w:pPr>
            <w:r w:rsidRPr="00B452A9">
              <w:rPr>
                <w:color w:val="auto"/>
              </w:rPr>
              <w:lastRenderedPageBreak/>
              <w:t>Термін “аудит інформаційної безпеки” вживається в значенні, визначеному Положенням про здійснення контролю за дотриманням банками вимог законодавства з питань інформаційної безпеки, кіберзахисту та електронних довірчих послуг, затвердженим постановою Правління Національного банку України від 16 січня 2021 року № 4 (далі – Положення про контроль № 4).</w:t>
            </w:r>
          </w:p>
        </w:tc>
        <w:tc>
          <w:tcPr>
            <w:tcW w:w="7088" w:type="dxa"/>
          </w:tcPr>
          <w:p w14:paraId="07A68FA4" w14:textId="6ABB219D" w:rsidR="00F5143E" w:rsidRPr="00B452A9" w:rsidRDefault="00F5143E" w:rsidP="002250A5">
            <w:pPr>
              <w:tabs>
                <w:tab w:val="left" w:pos="1134"/>
              </w:tabs>
              <w:ind w:firstLine="602"/>
              <w:rPr>
                <w:b/>
                <w:color w:val="auto"/>
              </w:rPr>
            </w:pPr>
            <w:r w:rsidRPr="00B452A9">
              <w:rPr>
                <w:color w:val="auto"/>
              </w:rPr>
              <w:t>Термін “аудит інформаційної безпеки” вживається в значенні, визначеному Положенням про здійснення контролю за дотриманням банками вимог законодавства з питань інформаційної безпеки, кіберзахисту та електронних довірчих послуг, затвердженим постановою Правління Національного банку України від 16 січня 2021 року № 4</w:t>
            </w:r>
            <w:r w:rsidRPr="00B452A9">
              <w:rPr>
                <w:b/>
                <w:color w:val="auto"/>
              </w:rPr>
              <w:t xml:space="preserve"> </w:t>
            </w:r>
            <w:r w:rsidR="002250A5">
              <w:rPr>
                <w:b/>
                <w:color w:val="auto"/>
              </w:rPr>
              <w:t>(</w:t>
            </w:r>
            <w:r w:rsidRPr="00B452A9">
              <w:rPr>
                <w:b/>
                <w:color w:val="auto"/>
              </w:rPr>
              <w:t>зі змінами</w:t>
            </w:r>
            <w:r w:rsidR="002250A5">
              <w:rPr>
                <w:b/>
                <w:color w:val="auto"/>
              </w:rPr>
              <w:t>)</w:t>
            </w:r>
            <w:r w:rsidRPr="00B452A9">
              <w:rPr>
                <w:color w:val="auto"/>
              </w:rPr>
              <w:t xml:space="preserve"> (далі – Положення про контроль № 4).</w:t>
            </w:r>
          </w:p>
        </w:tc>
      </w:tr>
      <w:tr w:rsidR="00F5143E" w:rsidRPr="00B452A9" w14:paraId="775D0F33" w14:textId="77777777" w:rsidTr="00B0775C">
        <w:tc>
          <w:tcPr>
            <w:tcW w:w="7508" w:type="dxa"/>
          </w:tcPr>
          <w:p w14:paraId="699DED53" w14:textId="5A504913" w:rsidR="00F5143E" w:rsidRDefault="00F5143E" w:rsidP="00F5143E">
            <w:pPr>
              <w:tabs>
                <w:tab w:val="left" w:pos="993"/>
              </w:tabs>
              <w:autoSpaceDE w:val="0"/>
              <w:autoSpaceDN w:val="0"/>
              <w:adjustRightInd w:val="0"/>
              <w:ind w:firstLine="567"/>
              <w:rPr>
                <w:strike/>
                <w:color w:val="auto"/>
              </w:rPr>
            </w:pPr>
            <w:r w:rsidRPr="00B452A9">
              <w:rPr>
                <w:strike/>
                <w:color w:val="auto"/>
              </w:rPr>
              <w:t>Терміни “об’єкт критичної інфраструктури”, “оператор критичної інфраструктури”, “реєстр об’єктів критичної інфраструктури” уживаються в значеннях, визначених у Законі України “Про критичну інфраструктуру”.</w:t>
            </w:r>
          </w:p>
          <w:p w14:paraId="02DE40DD" w14:textId="77777777" w:rsidR="00F5143E" w:rsidRDefault="00F5143E" w:rsidP="00F5143E">
            <w:pPr>
              <w:tabs>
                <w:tab w:val="left" w:pos="993"/>
              </w:tabs>
              <w:autoSpaceDE w:val="0"/>
              <w:autoSpaceDN w:val="0"/>
              <w:adjustRightInd w:val="0"/>
              <w:ind w:firstLine="567"/>
            </w:pPr>
            <w:r w:rsidRPr="00EB4A29">
              <w:t>Терміни “об’єкт критичної інформаційної інфраструктури”, “критична інформаційна інфраструктура” уживаються в значеннях, визначених у Законі України “Про основні засади забезпечення кібербезпеки України”.</w:t>
            </w:r>
          </w:p>
          <w:p w14:paraId="28933067" w14:textId="77777777" w:rsidR="00F5143E" w:rsidRDefault="00F5143E" w:rsidP="00F5143E">
            <w:pPr>
              <w:ind w:firstLine="731"/>
              <w:rPr>
                <w:strike/>
                <w:color w:val="auto"/>
              </w:rPr>
            </w:pPr>
            <w:r w:rsidRPr="00B452A9">
              <w:rPr>
                <w:strike/>
                <w:color w:val="auto"/>
              </w:rPr>
              <w:t>Термін “АРМ-НБУ-інформаційний” уживається в значенні, визначеному в Положенні про використання засобів криптографічного захисту інформації Національного банку України, затвердженому постановою Правління Національного банку України від 14 квітня 2023 року № 49.</w:t>
            </w:r>
          </w:p>
          <w:p w14:paraId="277C2B97" w14:textId="674018A5" w:rsidR="00F5143E" w:rsidRPr="00B452A9" w:rsidRDefault="00F5143E" w:rsidP="00F5143E">
            <w:pPr>
              <w:ind w:firstLine="731"/>
              <w:rPr>
                <w:color w:val="auto"/>
              </w:rPr>
            </w:pPr>
            <w:r w:rsidRPr="005D0EE4">
              <w:t>Інші терміни в цьому Положенні вживаються в значеннях, визначених у Законі України “Про основні засади забезпечення кібербезпеки України” та нормативно-правових актах Національного банку.</w:t>
            </w:r>
          </w:p>
        </w:tc>
        <w:tc>
          <w:tcPr>
            <w:tcW w:w="7088" w:type="dxa"/>
          </w:tcPr>
          <w:p w14:paraId="02A29A20" w14:textId="77777777" w:rsidR="00F5143E" w:rsidRDefault="00F5143E" w:rsidP="00F5143E">
            <w:pPr>
              <w:tabs>
                <w:tab w:val="left" w:pos="993"/>
              </w:tabs>
              <w:autoSpaceDE w:val="0"/>
              <w:autoSpaceDN w:val="0"/>
              <w:adjustRightInd w:val="0"/>
              <w:ind w:firstLine="567"/>
            </w:pPr>
          </w:p>
          <w:p w14:paraId="0B6A6804" w14:textId="77777777" w:rsidR="00F5143E" w:rsidRDefault="00F5143E" w:rsidP="00F5143E">
            <w:pPr>
              <w:tabs>
                <w:tab w:val="left" w:pos="993"/>
              </w:tabs>
              <w:autoSpaceDE w:val="0"/>
              <w:autoSpaceDN w:val="0"/>
              <w:adjustRightInd w:val="0"/>
              <w:ind w:firstLine="567"/>
            </w:pPr>
          </w:p>
          <w:p w14:paraId="0F5B00B8" w14:textId="77777777" w:rsidR="00F5143E" w:rsidRDefault="00F5143E" w:rsidP="00F5143E">
            <w:pPr>
              <w:tabs>
                <w:tab w:val="left" w:pos="993"/>
              </w:tabs>
              <w:autoSpaceDE w:val="0"/>
              <w:autoSpaceDN w:val="0"/>
              <w:adjustRightInd w:val="0"/>
              <w:ind w:firstLine="567"/>
            </w:pPr>
          </w:p>
          <w:p w14:paraId="2FF1CF6E" w14:textId="77777777" w:rsidR="00F5143E" w:rsidRDefault="00F5143E" w:rsidP="00F5143E">
            <w:pPr>
              <w:tabs>
                <w:tab w:val="left" w:pos="993"/>
              </w:tabs>
              <w:autoSpaceDE w:val="0"/>
              <w:autoSpaceDN w:val="0"/>
              <w:adjustRightInd w:val="0"/>
              <w:ind w:firstLine="567"/>
            </w:pPr>
          </w:p>
          <w:p w14:paraId="65F3BFC3" w14:textId="09C688EF" w:rsidR="00F5143E" w:rsidRDefault="00F5143E" w:rsidP="00F5143E">
            <w:pPr>
              <w:tabs>
                <w:tab w:val="left" w:pos="993"/>
              </w:tabs>
              <w:autoSpaceDE w:val="0"/>
              <w:autoSpaceDN w:val="0"/>
              <w:adjustRightInd w:val="0"/>
              <w:ind w:firstLine="567"/>
            </w:pPr>
            <w:r w:rsidRPr="00EB4A29">
              <w:t>Терміни “об’єкт критичної інформаційної інфраструктури”, “критична інформаційна інфраструктура” уживаються в значеннях, визначених у Законі України “Про основні засади забезпечення кібербезпеки України”.</w:t>
            </w:r>
          </w:p>
          <w:p w14:paraId="207FE256" w14:textId="04D0A0C3" w:rsidR="00F5143E" w:rsidRDefault="00F5143E" w:rsidP="00F5143E">
            <w:pPr>
              <w:tabs>
                <w:tab w:val="left" w:pos="993"/>
              </w:tabs>
              <w:autoSpaceDE w:val="0"/>
              <w:autoSpaceDN w:val="0"/>
              <w:adjustRightInd w:val="0"/>
              <w:ind w:firstLine="567"/>
            </w:pPr>
          </w:p>
          <w:p w14:paraId="52B41A8D" w14:textId="6B50DCE9" w:rsidR="00F5143E" w:rsidRDefault="00F5143E" w:rsidP="00F5143E">
            <w:pPr>
              <w:tabs>
                <w:tab w:val="left" w:pos="993"/>
              </w:tabs>
              <w:autoSpaceDE w:val="0"/>
              <w:autoSpaceDN w:val="0"/>
              <w:adjustRightInd w:val="0"/>
              <w:ind w:firstLine="567"/>
            </w:pPr>
          </w:p>
          <w:p w14:paraId="1837B6C8" w14:textId="1DEA9E91" w:rsidR="00F5143E" w:rsidRDefault="00F5143E" w:rsidP="00F5143E">
            <w:pPr>
              <w:tabs>
                <w:tab w:val="left" w:pos="993"/>
              </w:tabs>
              <w:autoSpaceDE w:val="0"/>
              <w:autoSpaceDN w:val="0"/>
              <w:adjustRightInd w:val="0"/>
              <w:ind w:firstLine="567"/>
            </w:pPr>
          </w:p>
          <w:p w14:paraId="4CD1E682" w14:textId="77777777" w:rsidR="00F5143E" w:rsidRDefault="00F5143E" w:rsidP="00F5143E">
            <w:pPr>
              <w:tabs>
                <w:tab w:val="left" w:pos="993"/>
              </w:tabs>
              <w:autoSpaceDE w:val="0"/>
              <w:autoSpaceDN w:val="0"/>
              <w:adjustRightInd w:val="0"/>
              <w:ind w:firstLine="567"/>
            </w:pPr>
          </w:p>
          <w:p w14:paraId="61A0F828" w14:textId="3BBE4C05" w:rsidR="00F5143E" w:rsidRPr="00B452A9" w:rsidRDefault="00F5143E" w:rsidP="00F5143E">
            <w:pPr>
              <w:tabs>
                <w:tab w:val="left" w:pos="1134"/>
              </w:tabs>
              <w:ind w:firstLine="602"/>
              <w:rPr>
                <w:b/>
                <w:color w:val="auto"/>
              </w:rPr>
            </w:pPr>
            <w:r w:rsidRPr="005D0EE4">
              <w:t>Інші терміни в цьому Положенні вживаються в значеннях, визначених у Законі України “Про основні засади забезпечення кібербезпеки України” та нормативно-правових актах Національного банку.</w:t>
            </w:r>
          </w:p>
        </w:tc>
      </w:tr>
      <w:tr w:rsidR="00F5143E" w:rsidRPr="00B452A9" w14:paraId="539F538D" w14:textId="77777777" w:rsidTr="00A760AB">
        <w:trPr>
          <w:trHeight w:val="3864"/>
        </w:trPr>
        <w:tc>
          <w:tcPr>
            <w:tcW w:w="7508" w:type="dxa"/>
          </w:tcPr>
          <w:p w14:paraId="098B5AF6" w14:textId="0D984B6B" w:rsidR="00F5143E" w:rsidRDefault="00F5143E" w:rsidP="00F5143E">
            <w:pPr>
              <w:ind w:firstLine="731"/>
              <w:rPr>
                <w:color w:val="auto"/>
                <w:shd w:val="clear" w:color="auto" w:fill="FFFFFF"/>
              </w:rPr>
            </w:pPr>
            <w:r w:rsidRPr="00B452A9">
              <w:rPr>
                <w:color w:val="auto"/>
                <w:shd w:val="clear" w:color="auto" w:fill="FFFFFF"/>
              </w:rPr>
              <w:lastRenderedPageBreak/>
              <w:t>3. Це Положення розроблено з метою унормування питань організації та забезпечення кіберзахисту і визначає:</w:t>
            </w:r>
          </w:p>
          <w:p w14:paraId="2691FE1F" w14:textId="77777777" w:rsidR="00F5143E" w:rsidRPr="00B452A9" w:rsidRDefault="00F5143E" w:rsidP="00F5143E">
            <w:pPr>
              <w:ind w:firstLine="731"/>
              <w:rPr>
                <w:color w:val="auto"/>
                <w:shd w:val="clear" w:color="auto" w:fill="FFFFFF"/>
              </w:rPr>
            </w:pPr>
          </w:p>
          <w:p w14:paraId="6F7FB23B" w14:textId="3B155C33" w:rsidR="00F5143E" w:rsidRDefault="00F5143E" w:rsidP="00F5143E">
            <w:pPr>
              <w:pStyle w:val="a4"/>
              <w:numPr>
                <w:ilvl w:val="2"/>
                <w:numId w:val="23"/>
              </w:numPr>
              <w:shd w:val="clear" w:color="auto" w:fill="FFFFFF"/>
              <w:tabs>
                <w:tab w:val="left" w:pos="720"/>
                <w:tab w:val="left" w:pos="1134"/>
              </w:tabs>
              <w:spacing w:line="240" w:lineRule="auto"/>
              <w:ind w:left="0" w:firstLine="567"/>
              <w:contextualSpacing w:val="0"/>
            </w:pPr>
            <w:r w:rsidRPr="006C6449">
              <w:t>основні засади функціонування системи кіберзахисту в банківській системі України;</w:t>
            </w:r>
          </w:p>
          <w:p w14:paraId="3D7EDE14" w14:textId="77777777" w:rsidR="00F5143E" w:rsidRPr="006C6449" w:rsidRDefault="00F5143E" w:rsidP="00F5143E">
            <w:pPr>
              <w:pStyle w:val="a4"/>
              <w:shd w:val="clear" w:color="auto" w:fill="FFFFFF"/>
              <w:tabs>
                <w:tab w:val="left" w:pos="720"/>
                <w:tab w:val="left" w:pos="1134"/>
              </w:tabs>
              <w:spacing w:line="240" w:lineRule="auto"/>
              <w:ind w:left="567" w:firstLine="0"/>
              <w:contextualSpacing w:val="0"/>
            </w:pPr>
          </w:p>
          <w:p w14:paraId="4C07C5DD" w14:textId="77777777" w:rsidR="00F5143E" w:rsidRPr="006C6449" w:rsidRDefault="00F5143E" w:rsidP="00F5143E">
            <w:pPr>
              <w:pStyle w:val="a4"/>
              <w:numPr>
                <w:ilvl w:val="2"/>
                <w:numId w:val="23"/>
              </w:numPr>
              <w:shd w:val="clear" w:color="auto" w:fill="FFFFFF"/>
              <w:tabs>
                <w:tab w:val="left" w:pos="720"/>
                <w:tab w:val="left" w:pos="993"/>
                <w:tab w:val="left" w:pos="1134"/>
              </w:tabs>
              <w:spacing w:line="240" w:lineRule="auto"/>
              <w:ind w:left="0" w:firstLine="567"/>
              <w:contextualSpacing w:val="0"/>
            </w:pPr>
            <w:r w:rsidRPr="006C6449">
              <w:t>принципи забезпечення інформаційного обміну між Центром кіберзахисту і банками України;</w:t>
            </w:r>
          </w:p>
          <w:p w14:paraId="3C56515E" w14:textId="5E0BED01" w:rsidR="00F5143E" w:rsidRPr="00B452A9" w:rsidRDefault="00F5143E" w:rsidP="00F5143E">
            <w:pPr>
              <w:ind w:firstLine="731"/>
              <w:rPr>
                <w:color w:val="auto"/>
                <w:shd w:val="clear" w:color="auto" w:fill="FFFFFF"/>
              </w:rPr>
            </w:pPr>
          </w:p>
          <w:p w14:paraId="422D4671" w14:textId="567C6527" w:rsidR="00F5143E" w:rsidRPr="00B452A9" w:rsidRDefault="00F5143E" w:rsidP="00F5143E">
            <w:pPr>
              <w:ind w:firstLine="731"/>
              <w:rPr>
                <w:color w:val="auto"/>
                <w:shd w:val="clear" w:color="auto" w:fill="FFFFFF"/>
              </w:rPr>
            </w:pPr>
            <w:r w:rsidRPr="00B452A9">
              <w:rPr>
                <w:strike/>
                <w:color w:val="auto"/>
                <w:shd w:val="clear" w:color="auto" w:fill="FFFFFF"/>
              </w:rPr>
              <w:t>3) вимоги стосовно заходів щодо забезпечення кіберзахисту об'єктів критичної інформаційної інфраструктури в банківській системі України;</w:t>
            </w:r>
          </w:p>
        </w:tc>
        <w:tc>
          <w:tcPr>
            <w:tcW w:w="7088" w:type="dxa"/>
          </w:tcPr>
          <w:p w14:paraId="310D379E" w14:textId="77777777" w:rsidR="00F5143E" w:rsidRPr="00F5143E" w:rsidRDefault="00F5143E" w:rsidP="00F5143E">
            <w:pPr>
              <w:tabs>
                <w:tab w:val="left" w:pos="1134"/>
              </w:tabs>
              <w:ind w:firstLine="460"/>
              <w:rPr>
                <w:color w:val="auto"/>
                <w:shd w:val="clear" w:color="auto" w:fill="FFFFFF"/>
                <w:lang w:val="ru-RU"/>
              </w:rPr>
            </w:pPr>
            <w:r w:rsidRPr="00F5143E">
              <w:rPr>
                <w:color w:val="auto"/>
                <w:shd w:val="clear" w:color="auto" w:fill="FFFFFF"/>
                <w:lang w:val="ru-RU"/>
              </w:rPr>
              <w:t>3. Це Положення розроблено з метою унормування питань організації та забезпечення кіберзахисту і визначає:</w:t>
            </w:r>
          </w:p>
          <w:p w14:paraId="631B7A4B" w14:textId="77777777" w:rsidR="00F5143E" w:rsidRPr="00F5143E" w:rsidRDefault="00F5143E" w:rsidP="00F5143E">
            <w:pPr>
              <w:tabs>
                <w:tab w:val="left" w:pos="1134"/>
              </w:tabs>
              <w:ind w:firstLine="460"/>
              <w:rPr>
                <w:color w:val="auto"/>
                <w:shd w:val="clear" w:color="auto" w:fill="FFFFFF"/>
                <w:lang w:val="ru-RU"/>
              </w:rPr>
            </w:pPr>
          </w:p>
          <w:p w14:paraId="302F7D8B" w14:textId="77777777" w:rsidR="00F5143E" w:rsidRPr="00F5143E" w:rsidRDefault="00F5143E" w:rsidP="00F5143E">
            <w:pPr>
              <w:tabs>
                <w:tab w:val="left" w:pos="1134"/>
              </w:tabs>
              <w:ind w:firstLine="460"/>
              <w:rPr>
                <w:color w:val="auto"/>
                <w:shd w:val="clear" w:color="auto" w:fill="FFFFFF"/>
                <w:lang w:val="ru-RU"/>
              </w:rPr>
            </w:pPr>
            <w:r w:rsidRPr="00F5143E">
              <w:rPr>
                <w:color w:val="auto"/>
                <w:shd w:val="clear" w:color="auto" w:fill="FFFFFF"/>
                <w:lang w:val="ru-RU"/>
              </w:rPr>
              <w:t>1)</w:t>
            </w:r>
            <w:r w:rsidRPr="00F5143E">
              <w:rPr>
                <w:color w:val="auto"/>
                <w:shd w:val="clear" w:color="auto" w:fill="FFFFFF"/>
                <w:lang w:val="ru-RU"/>
              </w:rPr>
              <w:tab/>
              <w:t>основні засади функціонування системи кіберзахисту в банківській системі України;</w:t>
            </w:r>
          </w:p>
          <w:p w14:paraId="28EFFF5C" w14:textId="77777777" w:rsidR="00F5143E" w:rsidRPr="00F5143E" w:rsidRDefault="00F5143E" w:rsidP="00F5143E">
            <w:pPr>
              <w:tabs>
                <w:tab w:val="left" w:pos="1134"/>
              </w:tabs>
              <w:ind w:firstLine="460"/>
              <w:rPr>
                <w:color w:val="auto"/>
                <w:shd w:val="clear" w:color="auto" w:fill="FFFFFF"/>
                <w:lang w:val="ru-RU"/>
              </w:rPr>
            </w:pPr>
          </w:p>
          <w:p w14:paraId="7A135B37" w14:textId="1A24394D" w:rsidR="00F5143E" w:rsidRPr="00F5143E" w:rsidRDefault="00F5143E" w:rsidP="00F5143E">
            <w:pPr>
              <w:tabs>
                <w:tab w:val="left" w:pos="1134"/>
              </w:tabs>
              <w:ind w:firstLine="460"/>
              <w:rPr>
                <w:color w:val="auto"/>
                <w:shd w:val="clear" w:color="auto" w:fill="FFFFFF"/>
                <w:lang w:val="ru-RU"/>
              </w:rPr>
            </w:pPr>
            <w:r w:rsidRPr="00F5143E">
              <w:rPr>
                <w:color w:val="auto"/>
                <w:shd w:val="clear" w:color="auto" w:fill="FFFFFF"/>
                <w:lang w:val="ru-RU"/>
              </w:rPr>
              <w:t>2)</w:t>
            </w:r>
            <w:r w:rsidRPr="00F5143E">
              <w:rPr>
                <w:color w:val="auto"/>
                <w:shd w:val="clear" w:color="auto" w:fill="FFFFFF"/>
                <w:lang w:val="ru-RU"/>
              </w:rPr>
              <w:tab/>
              <w:t>принципи забезпечення інформаційного обміну між Центром кіберзахисту і банками України;</w:t>
            </w:r>
          </w:p>
        </w:tc>
      </w:tr>
      <w:tr w:rsidR="00F5143E" w:rsidRPr="00B452A9" w14:paraId="38DFE74A" w14:textId="77777777" w:rsidTr="007C3E25">
        <w:tc>
          <w:tcPr>
            <w:tcW w:w="7508" w:type="dxa"/>
          </w:tcPr>
          <w:p w14:paraId="2141EACA" w14:textId="5186BC69" w:rsidR="00F5143E" w:rsidRPr="00B452A9" w:rsidRDefault="00F5143E" w:rsidP="00F5143E">
            <w:pPr>
              <w:ind w:firstLine="731"/>
              <w:rPr>
                <w:color w:val="auto"/>
                <w:shd w:val="clear" w:color="auto" w:fill="FFFFFF"/>
              </w:rPr>
            </w:pPr>
            <w:r w:rsidRPr="00B452A9">
              <w:rPr>
                <w:color w:val="auto"/>
                <w:shd w:val="clear" w:color="auto" w:fill="FFFFFF"/>
              </w:rPr>
              <w:t>5.</w:t>
            </w:r>
            <w:r w:rsidRPr="00B452A9">
              <w:rPr>
                <w:color w:val="auto"/>
                <w:shd w:val="clear" w:color="auto" w:fill="FFFFFF"/>
              </w:rPr>
              <w:tab/>
              <w:t xml:space="preserve">Національний банк має право здійснювати перевірку стану впровадження заходів щодо забезпечення кіберзахисту, встановлених </w:t>
            </w:r>
            <w:r w:rsidRPr="00B452A9">
              <w:rPr>
                <w:strike/>
                <w:color w:val="auto"/>
                <w:shd w:val="clear" w:color="auto" w:fill="FFFFFF"/>
              </w:rPr>
              <w:t>у розділах ІІ, IV цього Положення</w:t>
            </w:r>
            <w:r w:rsidRPr="00B452A9">
              <w:rPr>
                <w:color w:val="auto"/>
                <w:shd w:val="clear" w:color="auto" w:fill="FFFFFF"/>
              </w:rPr>
              <w:t>, під час здійснення заходів контролю, передбачених Положенням про контроль № 4.</w:t>
            </w:r>
          </w:p>
        </w:tc>
        <w:tc>
          <w:tcPr>
            <w:tcW w:w="7088" w:type="dxa"/>
          </w:tcPr>
          <w:p w14:paraId="78D9069F" w14:textId="2C4F1117" w:rsidR="00F5143E" w:rsidRPr="00B452A9" w:rsidRDefault="00F5143E" w:rsidP="00F5143E">
            <w:pPr>
              <w:tabs>
                <w:tab w:val="left" w:pos="1134"/>
              </w:tabs>
              <w:autoSpaceDE w:val="0"/>
              <w:autoSpaceDN w:val="0"/>
              <w:adjustRightInd w:val="0"/>
              <w:spacing w:line="320" w:lineRule="exact"/>
              <w:rPr>
                <w:color w:val="auto"/>
                <w:shd w:val="clear" w:color="auto" w:fill="FFFFFF"/>
              </w:rPr>
            </w:pPr>
            <w:r>
              <w:rPr>
                <w:color w:val="auto"/>
              </w:rPr>
              <w:t xml:space="preserve">5. </w:t>
            </w:r>
            <w:r w:rsidRPr="00B452A9">
              <w:rPr>
                <w:color w:val="auto"/>
              </w:rPr>
              <w:t xml:space="preserve">Національний банк має право здійснювати перевірку стану впровадження заходів щодо забезпечення кіберзахисту, встановлених </w:t>
            </w:r>
            <w:r w:rsidRPr="00B452A9">
              <w:rPr>
                <w:b/>
                <w:color w:val="auto"/>
                <w:shd w:val="clear" w:color="auto" w:fill="FFFFFF"/>
              </w:rPr>
              <w:t>цим</w:t>
            </w:r>
            <w:r w:rsidRPr="00B452A9">
              <w:rPr>
                <w:color w:val="auto"/>
              </w:rPr>
              <w:t xml:space="preserve"> </w:t>
            </w:r>
            <w:r w:rsidRPr="00C21E69">
              <w:rPr>
                <w:b/>
                <w:color w:val="auto"/>
              </w:rPr>
              <w:t>Положенням</w:t>
            </w:r>
            <w:r w:rsidRPr="00B452A9">
              <w:rPr>
                <w:color w:val="auto"/>
              </w:rPr>
              <w:t xml:space="preserve">, під час здійснення заходів контролю, </w:t>
            </w:r>
            <w:r w:rsidRPr="00B452A9">
              <w:rPr>
                <w:bCs/>
                <w:color w:val="auto"/>
              </w:rPr>
              <w:t>передбачених</w:t>
            </w:r>
            <w:r w:rsidRPr="00B452A9">
              <w:rPr>
                <w:color w:val="auto"/>
              </w:rPr>
              <w:t xml:space="preserve"> Положення</w:t>
            </w:r>
            <w:r w:rsidRPr="00B452A9">
              <w:rPr>
                <w:bCs/>
                <w:color w:val="auto"/>
              </w:rPr>
              <w:t>м</w:t>
            </w:r>
            <w:r w:rsidRPr="00B452A9">
              <w:rPr>
                <w:color w:val="auto"/>
              </w:rPr>
              <w:t xml:space="preserve"> про контроль № 4.</w:t>
            </w:r>
          </w:p>
        </w:tc>
      </w:tr>
      <w:tr w:rsidR="00F5143E" w:rsidRPr="00B452A9" w14:paraId="50321DA3" w14:textId="77777777" w:rsidTr="00B0775C">
        <w:tc>
          <w:tcPr>
            <w:tcW w:w="7508" w:type="dxa"/>
          </w:tcPr>
          <w:p w14:paraId="5637BD6F" w14:textId="77777777" w:rsidR="00F5143E" w:rsidRPr="00B452A9" w:rsidRDefault="00F5143E" w:rsidP="00F5143E">
            <w:pPr>
              <w:rPr>
                <w:color w:val="auto"/>
                <w:shd w:val="clear" w:color="auto" w:fill="FFFFFF"/>
              </w:rPr>
            </w:pPr>
            <w:r w:rsidRPr="00B452A9">
              <w:rPr>
                <w:color w:val="auto"/>
                <w:shd w:val="clear" w:color="auto" w:fill="FFFFFF"/>
              </w:rPr>
              <w:t>6. Вимоги цього Положення поширюються на банки України.</w:t>
            </w:r>
          </w:p>
          <w:p w14:paraId="30668EF7" w14:textId="4C1407F1" w:rsidR="00F5143E" w:rsidRPr="00B452A9" w:rsidRDefault="00F5143E" w:rsidP="00F5143E">
            <w:pPr>
              <w:rPr>
                <w:i/>
                <w:strike/>
                <w:noProof/>
                <w:color w:val="auto"/>
                <w:sz w:val="24"/>
              </w:rPr>
            </w:pPr>
            <w:r w:rsidRPr="00B452A9">
              <w:rPr>
                <w:strike/>
                <w:color w:val="auto"/>
                <w:shd w:val="clear" w:color="auto" w:fill="FFFFFF"/>
              </w:rPr>
              <w:t>Вимоги розділу IV цього Положення поширюються лише на банки України, що віднесені до операторів критичної інфраструктури фінансового сектору відповідно до нормативно-правових актів Національного банку з питань захисту критичної інфраструктури (далі - банки – оператори критичної інфраструктури).</w:t>
            </w:r>
          </w:p>
        </w:tc>
        <w:tc>
          <w:tcPr>
            <w:tcW w:w="7088" w:type="dxa"/>
          </w:tcPr>
          <w:p w14:paraId="69876DB9" w14:textId="77777777" w:rsidR="00F5143E" w:rsidRPr="00B452A9" w:rsidRDefault="00F5143E" w:rsidP="00F5143E">
            <w:pPr>
              <w:ind w:firstLine="462"/>
              <w:rPr>
                <w:color w:val="auto"/>
                <w:shd w:val="clear" w:color="auto" w:fill="FFFFFF"/>
              </w:rPr>
            </w:pPr>
            <w:r w:rsidRPr="00B452A9">
              <w:rPr>
                <w:color w:val="auto"/>
                <w:shd w:val="clear" w:color="auto" w:fill="FFFFFF"/>
              </w:rPr>
              <w:t>6. Вимоги цього Положення поширюються на банки України.</w:t>
            </w:r>
          </w:p>
          <w:p w14:paraId="0B8943CD" w14:textId="77777777" w:rsidR="00F5143E" w:rsidRPr="00B452A9" w:rsidRDefault="00F5143E" w:rsidP="00F5143E">
            <w:pPr>
              <w:rPr>
                <w:color w:val="auto"/>
                <w:shd w:val="clear" w:color="auto" w:fill="FFFFFF"/>
              </w:rPr>
            </w:pPr>
          </w:p>
          <w:p w14:paraId="2BFAD109" w14:textId="13E425A3" w:rsidR="00F5143E" w:rsidRPr="00B452A9" w:rsidRDefault="00F5143E" w:rsidP="00F5143E">
            <w:pPr>
              <w:tabs>
                <w:tab w:val="left" w:pos="1134"/>
              </w:tabs>
              <w:ind w:firstLine="460"/>
              <w:rPr>
                <w:b/>
                <w:color w:val="auto"/>
                <w:sz w:val="24"/>
                <w:szCs w:val="24"/>
              </w:rPr>
            </w:pPr>
          </w:p>
        </w:tc>
      </w:tr>
      <w:tr w:rsidR="00F5143E" w:rsidRPr="00B452A9" w14:paraId="6E5C63C1" w14:textId="77777777" w:rsidTr="00B0775C">
        <w:tc>
          <w:tcPr>
            <w:tcW w:w="7508" w:type="dxa"/>
          </w:tcPr>
          <w:p w14:paraId="702547CA" w14:textId="74BC307C" w:rsidR="00F5143E" w:rsidRPr="00B452A9" w:rsidRDefault="00F5143E" w:rsidP="00F5143E">
            <w:pPr>
              <w:rPr>
                <w:color w:val="auto"/>
                <w:shd w:val="clear" w:color="auto" w:fill="FFFFFF"/>
              </w:rPr>
            </w:pPr>
            <w:r w:rsidRPr="00B452A9">
              <w:rPr>
                <w:bCs/>
                <w:color w:val="auto"/>
                <w:shd w:val="clear" w:color="auto" w:fill="FFFFFF"/>
              </w:rPr>
              <w:t>II. Основні засади організації кіберзахисту в банківській системі України</w:t>
            </w:r>
          </w:p>
        </w:tc>
        <w:tc>
          <w:tcPr>
            <w:tcW w:w="7088" w:type="dxa"/>
          </w:tcPr>
          <w:p w14:paraId="613FF9BB" w14:textId="4269A08F" w:rsidR="00F5143E" w:rsidRPr="00B452A9" w:rsidRDefault="00F5143E" w:rsidP="00F5143E">
            <w:pPr>
              <w:ind w:firstLine="462"/>
              <w:rPr>
                <w:color w:val="auto"/>
                <w:shd w:val="clear" w:color="auto" w:fill="FFFFFF"/>
              </w:rPr>
            </w:pPr>
            <w:r w:rsidRPr="00B452A9">
              <w:rPr>
                <w:bCs/>
                <w:color w:val="auto"/>
                <w:shd w:val="clear" w:color="auto" w:fill="FFFFFF"/>
              </w:rPr>
              <w:t>II. Основні засади організації кіберзахисту в банківській системі України</w:t>
            </w:r>
          </w:p>
        </w:tc>
      </w:tr>
      <w:tr w:rsidR="00F5143E" w:rsidRPr="00B452A9" w14:paraId="78909BB7" w14:textId="77777777" w:rsidTr="00B0775C">
        <w:tc>
          <w:tcPr>
            <w:tcW w:w="7508" w:type="dxa"/>
          </w:tcPr>
          <w:p w14:paraId="153A94D6" w14:textId="4317FBEE" w:rsidR="00F5143E" w:rsidRPr="00B452A9" w:rsidRDefault="00F5143E" w:rsidP="00F5143E">
            <w:pPr>
              <w:rPr>
                <w:bCs/>
                <w:color w:val="auto"/>
                <w:shd w:val="clear" w:color="auto" w:fill="FFFFFF"/>
              </w:rPr>
            </w:pPr>
            <w:r w:rsidRPr="00B452A9">
              <w:rPr>
                <w:color w:val="auto"/>
                <w:shd w:val="clear" w:color="auto" w:fill="FFFFFF"/>
              </w:rPr>
              <w:lastRenderedPageBreak/>
              <w:t>13. Центр кіберзахисту забезпечує:</w:t>
            </w:r>
          </w:p>
        </w:tc>
        <w:tc>
          <w:tcPr>
            <w:tcW w:w="7088" w:type="dxa"/>
          </w:tcPr>
          <w:p w14:paraId="036C9B5B" w14:textId="0C0559FF" w:rsidR="00F5143E" w:rsidRPr="00B452A9" w:rsidRDefault="00F5143E" w:rsidP="00F5143E">
            <w:pPr>
              <w:ind w:firstLine="462"/>
              <w:rPr>
                <w:bCs/>
                <w:color w:val="auto"/>
                <w:shd w:val="clear" w:color="auto" w:fill="FFFFFF"/>
              </w:rPr>
            </w:pPr>
            <w:r w:rsidRPr="00B452A9">
              <w:rPr>
                <w:color w:val="auto"/>
                <w:shd w:val="clear" w:color="auto" w:fill="FFFFFF"/>
              </w:rPr>
              <w:t>13. Центр кіберзахисту забезпечує:</w:t>
            </w:r>
          </w:p>
        </w:tc>
      </w:tr>
      <w:tr w:rsidR="00F5143E" w:rsidRPr="00B452A9" w14:paraId="1C9DE3E3" w14:textId="77777777" w:rsidTr="00B0775C">
        <w:tc>
          <w:tcPr>
            <w:tcW w:w="7508" w:type="dxa"/>
          </w:tcPr>
          <w:p w14:paraId="7ABDF3EE" w14:textId="3BDDB896" w:rsidR="00F5143E" w:rsidRPr="00B452A9" w:rsidRDefault="00F5143E" w:rsidP="00F5143E">
            <w:pPr>
              <w:tabs>
                <w:tab w:val="left" w:pos="1605"/>
              </w:tabs>
              <w:rPr>
                <w:color w:val="auto"/>
                <w:shd w:val="clear" w:color="auto" w:fill="FFFFFF"/>
              </w:rPr>
            </w:pPr>
            <w:r w:rsidRPr="00B452A9">
              <w:rPr>
                <w:color w:val="auto"/>
                <w:shd w:val="clear" w:color="auto" w:fill="FFFFFF"/>
              </w:rPr>
              <w:t xml:space="preserve">4) організацію виконання заходів щодо об'єктів критичної інформаційної інфраструктури </w:t>
            </w:r>
            <w:r w:rsidRPr="00B452A9">
              <w:rPr>
                <w:strike/>
                <w:color w:val="auto"/>
                <w:shd w:val="clear" w:color="auto" w:fill="FFFFFF"/>
              </w:rPr>
              <w:t>відповідно до </w:t>
            </w:r>
            <w:r w:rsidRPr="00B452A9">
              <w:rPr>
                <w:strike/>
                <w:color w:val="auto"/>
                <w:u w:val="single"/>
                <w:shd w:val="clear" w:color="auto" w:fill="FFFFFF"/>
              </w:rPr>
              <w:t>розділу IV</w:t>
            </w:r>
            <w:r w:rsidRPr="00B452A9">
              <w:rPr>
                <w:strike/>
                <w:color w:val="auto"/>
                <w:shd w:val="clear" w:color="auto" w:fill="FFFFFF"/>
              </w:rPr>
              <w:t> цього Положення</w:t>
            </w:r>
            <w:r w:rsidRPr="00B452A9">
              <w:rPr>
                <w:color w:val="auto"/>
                <w:shd w:val="clear" w:color="auto" w:fill="FFFFFF"/>
              </w:rPr>
              <w:t>;</w:t>
            </w:r>
          </w:p>
        </w:tc>
        <w:tc>
          <w:tcPr>
            <w:tcW w:w="7088" w:type="dxa"/>
          </w:tcPr>
          <w:p w14:paraId="6443EB11" w14:textId="4AFF0E3F" w:rsidR="00F5143E" w:rsidRPr="00B452A9" w:rsidRDefault="00F5143E" w:rsidP="00F5143E">
            <w:pPr>
              <w:ind w:firstLine="462"/>
              <w:rPr>
                <w:color w:val="auto"/>
                <w:shd w:val="clear" w:color="auto" w:fill="FFFFFF"/>
              </w:rPr>
            </w:pPr>
            <w:r w:rsidRPr="00B452A9">
              <w:rPr>
                <w:color w:val="auto"/>
                <w:shd w:val="clear" w:color="auto" w:fill="FFFFFF"/>
              </w:rPr>
              <w:t>4) організацію виконання заходів щодо об'єктів критичної інформаційної інфраструктури;</w:t>
            </w:r>
          </w:p>
        </w:tc>
      </w:tr>
      <w:tr w:rsidR="00F5143E" w:rsidRPr="00B452A9" w14:paraId="2F97D5DD" w14:textId="77777777" w:rsidTr="00B0775C">
        <w:tc>
          <w:tcPr>
            <w:tcW w:w="7508" w:type="dxa"/>
          </w:tcPr>
          <w:p w14:paraId="77C9B09F" w14:textId="62B9C15D" w:rsidR="00F5143E" w:rsidRPr="00B452A9" w:rsidRDefault="00F5143E" w:rsidP="00F5143E">
            <w:pPr>
              <w:tabs>
                <w:tab w:val="left" w:pos="1605"/>
              </w:tabs>
              <w:rPr>
                <w:color w:val="auto"/>
                <w:shd w:val="clear" w:color="auto" w:fill="FFFFFF"/>
              </w:rPr>
            </w:pPr>
            <w:r w:rsidRPr="00B452A9">
              <w:rPr>
                <w:color w:val="auto"/>
                <w:shd w:val="clear" w:color="auto" w:fill="FFFFFF"/>
              </w:rPr>
              <w:t>III. Організація інформаційного обміну</w:t>
            </w:r>
          </w:p>
        </w:tc>
        <w:tc>
          <w:tcPr>
            <w:tcW w:w="7088" w:type="dxa"/>
          </w:tcPr>
          <w:p w14:paraId="0F89ABFE" w14:textId="550094D8" w:rsidR="00F5143E" w:rsidRPr="00B452A9" w:rsidRDefault="00F5143E" w:rsidP="00F5143E">
            <w:pPr>
              <w:ind w:firstLine="462"/>
              <w:rPr>
                <w:color w:val="auto"/>
                <w:shd w:val="clear" w:color="auto" w:fill="FFFFFF"/>
              </w:rPr>
            </w:pPr>
            <w:r w:rsidRPr="00B452A9">
              <w:rPr>
                <w:color w:val="auto"/>
                <w:shd w:val="clear" w:color="auto" w:fill="FFFFFF"/>
              </w:rPr>
              <w:t>III. Організація інформаційного обміну</w:t>
            </w:r>
          </w:p>
        </w:tc>
      </w:tr>
      <w:tr w:rsidR="00F5143E" w:rsidRPr="00B452A9" w14:paraId="0CC3BEBE" w14:textId="77777777" w:rsidTr="00B0775C">
        <w:tc>
          <w:tcPr>
            <w:tcW w:w="7508" w:type="dxa"/>
          </w:tcPr>
          <w:p w14:paraId="1F779B89" w14:textId="369C4CF7" w:rsidR="00F5143E" w:rsidRPr="00B452A9" w:rsidRDefault="00F5143E" w:rsidP="00F5143E">
            <w:pPr>
              <w:tabs>
                <w:tab w:val="left" w:pos="1605"/>
              </w:tabs>
              <w:rPr>
                <w:color w:val="auto"/>
                <w:shd w:val="clear" w:color="auto" w:fill="FFFFFF"/>
              </w:rPr>
            </w:pPr>
            <w:r w:rsidRPr="00B452A9">
              <w:rPr>
                <w:color w:val="auto"/>
                <w:shd w:val="clear" w:color="auto" w:fill="FFFFFF"/>
              </w:rPr>
              <w:t>20. Учасниками інформаційного обміну є суб'єкти кіберзахисту, визначені в пункті 8 розділу II цього Положення.</w:t>
            </w:r>
          </w:p>
        </w:tc>
        <w:tc>
          <w:tcPr>
            <w:tcW w:w="7088" w:type="dxa"/>
          </w:tcPr>
          <w:p w14:paraId="4A968D9E" w14:textId="431F18B8" w:rsidR="00F5143E" w:rsidRPr="00B452A9" w:rsidRDefault="00F5143E" w:rsidP="00F5143E">
            <w:pPr>
              <w:ind w:firstLine="462"/>
              <w:rPr>
                <w:b/>
                <w:color w:val="auto"/>
                <w:shd w:val="clear" w:color="auto" w:fill="FFFFFF"/>
              </w:rPr>
            </w:pPr>
            <w:r w:rsidRPr="00B452A9">
              <w:rPr>
                <w:color w:val="auto"/>
                <w:shd w:val="clear" w:color="auto" w:fill="FFFFFF"/>
              </w:rPr>
              <w:t>20. Учасниками інформаційного обміну є суб'єкти кіберзахисту, визначені в пункті 8 розділу II цього Положення.</w:t>
            </w:r>
            <w:r>
              <w:rPr>
                <w:color w:val="auto"/>
                <w:shd w:val="clear" w:color="auto" w:fill="FFFFFF"/>
              </w:rPr>
              <w:t xml:space="preserve"> </w:t>
            </w:r>
            <w:r>
              <w:rPr>
                <w:b/>
                <w:color w:val="auto"/>
                <w:shd w:val="clear" w:color="auto" w:fill="FFFFFF"/>
              </w:rPr>
              <w:t xml:space="preserve">Центр кіберзахисту має право залучати до участі в інформаційному обміні </w:t>
            </w:r>
            <w:r w:rsidRPr="00B452A9">
              <w:rPr>
                <w:b/>
              </w:rPr>
              <w:t>установ</w:t>
            </w:r>
            <w:r>
              <w:rPr>
                <w:b/>
              </w:rPr>
              <w:t>и</w:t>
            </w:r>
            <w:r w:rsidRPr="00B452A9">
              <w:rPr>
                <w:b/>
              </w:rPr>
              <w:t>,  що є оператор</w:t>
            </w:r>
            <w:r>
              <w:rPr>
                <w:b/>
              </w:rPr>
              <w:t>ами</w:t>
            </w:r>
            <w:r w:rsidRPr="00B452A9">
              <w:rPr>
                <w:b/>
              </w:rPr>
              <w:t xml:space="preserve"> критичної інфраструктури фінансового сектору відповідно до Положення № 69</w:t>
            </w:r>
            <w:r>
              <w:rPr>
                <w:b/>
              </w:rPr>
              <w:t>.</w:t>
            </w:r>
          </w:p>
        </w:tc>
      </w:tr>
      <w:tr w:rsidR="00F5143E" w:rsidRPr="00B452A9" w14:paraId="6A7B6574" w14:textId="77777777" w:rsidTr="00B0775C">
        <w:tc>
          <w:tcPr>
            <w:tcW w:w="7508" w:type="dxa"/>
          </w:tcPr>
          <w:p w14:paraId="2DA7C81D" w14:textId="0E1E5FE2" w:rsidR="00F5143E" w:rsidRPr="00B452A9" w:rsidRDefault="00F5143E" w:rsidP="00F5143E">
            <w:pPr>
              <w:rPr>
                <w:strike/>
                <w:color w:val="auto"/>
                <w:shd w:val="clear" w:color="auto" w:fill="FFFFFF"/>
              </w:rPr>
            </w:pPr>
            <w:r w:rsidRPr="00B452A9">
              <w:rPr>
                <w:bCs/>
                <w:strike/>
                <w:color w:val="auto"/>
                <w:shd w:val="clear" w:color="auto" w:fill="FFFFFF"/>
              </w:rPr>
              <w:t>IV. Заходи щодо забезпечення кіберзахисту критичної інфраструктури банків - операторів критичної інфраструктури</w:t>
            </w:r>
          </w:p>
        </w:tc>
        <w:tc>
          <w:tcPr>
            <w:tcW w:w="7088" w:type="dxa"/>
          </w:tcPr>
          <w:p w14:paraId="18B4C878" w14:textId="58D2D30D" w:rsidR="00F5143E" w:rsidRPr="00B452A9" w:rsidRDefault="00F5143E" w:rsidP="00F5143E">
            <w:pPr>
              <w:tabs>
                <w:tab w:val="left" w:pos="1134"/>
              </w:tabs>
              <w:ind w:firstLine="460"/>
              <w:rPr>
                <w:color w:val="auto"/>
                <w:shd w:val="clear" w:color="auto" w:fill="FFFFFF"/>
              </w:rPr>
            </w:pPr>
          </w:p>
        </w:tc>
      </w:tr>
      <w:tr w:rsidR="00F5143E" w:rsidRPr="00B452A9" w14:paraId="253B9C41" w14:textId="77777777" w:rsidTr="00B0775C">
        <w:tc>
          <w:tcPr>
            <w:tcW w:w="7508" w:type="dxa"/>
          </w:tcPr>
          <w:p w14:paraId="55D94B23" w14:textId="77777777" w:rsidR="00F5143E" w:rsidRPr="00B452A9" w:rsidRDefault="00F5143E" w:rsidP="00F5143E">
            <w:pPr>
              <w:rPr>
                <w:strike/>
                <w:color w:val="auto"/>
              </w:rPr>
            </w:pPr>
            <w:r w:rsidRPr="00B452A9">
              <w:rPr>
                <w:strike/>
                <w:color w:val="auto"/>
              </w:rPr>
              <w:t>30. Банк - оператор критичної інфраструктури зобов’язаний віднести до об’єктів критичної інформаційної інфраструктури (далі - ОКІІ) інформаційні системи об’єкта критичної інфраструктури, які відповідають двом критеріям:</w:t>
            </w:r>
          </w:p>
          <w:p w14:paraId="6C7E6EE1" w14:textId="77777777" w:rsidR="00F5143E" w:rsidRPr="00B452A9" w:rsidRDefault="00F5143E" w:rsidP="00F5143E">
            <w:pPr>
              <w:rPr>
                <w:strike/>
                <w:color w:val="auto"/>
              </w:rPr>
            </w:pPr>
            <w:r w:rsidRPr="00B452A9">
              <w:rPr>
                <w:strike/>
                <w:color w:val="auto"/>
              </w:rPr>
              <w:t>1) порушення функціонування інформаційних систем внаслідок кіберінциденту, кібератаки безпосередньо вплине на стале функціонування об’єкта критичної інфраструктури банку - оператора критичної інфраструктури;</w:t>
            </w:r>
          </w:p>
          <w:p w14:paraId="2C8746A9" w14:textId="43894306" w:rsidR="00F5143E" w:rsidRPr="00B452A9" w:rsidRDefault="00F5143E" w:rsidP="00F5143E">
            <w:pPr>
              <w:rPr>
                <w:color w:val="auto"/>
                <w:shd w:val="clear" w:color="auto" w:fill="FFFFFF"/>
              </w:rPr>
            </w:pPr>
            <w:r w:rsidRPr="00B452A9">
              <w:rPr>
                <w:strike/>
                <w:color w:val="auto"/>
              </w:rPr>
              <w:t>2) у банку - оператора критичної інфраструктури немає альтернативних за функціональними можливостями інформаційних систем для забезпечення сталого функціонування об’єкта критичної інфраструктури банку - оператора критичної інфраструктури.</w:t>
            </w:r>
            <w:r w:rsidRPr="00B452A9">
              <w:rPr>
                <w:color w:val="auto"/>
              </w:rPr>
              <w:t xml:space="preserve"> </w:t>
            </w:r>
          </w:p>
        </w:tc>
        <w:tc>
          <w:tcPr>
            <w:tcW w:w="7088" w:type="dxa"/>
          </w:tcPr>
          <w:p w14:paraId="75DC732E" w14:textId="0F9141FC" w:rsidR="00F5143E" w:rsidRPr="00B452A9" w:rsidRDefault="00F5143E" w:rsidP="00F5143E">
            <w:pPr>
              <w:tabs>
                <w:tab w:val="left" w:pos="1134"/>
              </w:tabs>
              <w:ind w:firstLine="462"/>
              <w:rPr>
                <w:color w:val="auto"/>
                <w:shd w:val="clear" w:color="auto" w:fill="FFFFFF"/>
              </w:rPr>
            </w:pPr>
          </w:p>
        </w:tc>
      </w:tr>
      <w:tr w:rsidR="00F5143E" w:rsidRPr="00B452A9" w14:paraId="03C3C0BA" w14:textId="77777777" w:rsidTr="007C3E25">
        <w:tc>
          <w:tcPr>
            <w:tcW w:w="7508" w:type="dxa"/>
          </w:tcPr>
          <w:p w14:paraId="7AE63CDB" w14:textId="64EB27FD" w:rsidR="00F5143E" w:rsidRPr="00B452A9" w:rsidRDefault="00F5143E" w:rsidP="00F5143E">
            <w:pPr>
              <w:rPr>
                <w:strike/>
                <w:color w:val="auto"/>
                <w:shd w:val="clear" w:color="auto" w:fill="FFFFFF"/>
              </w:rPr>
            </w:pPr>
            <w:r w:rsidRPr="00B452A9">
              <w:rPr>
                <w:strike/>
                <w:color w:val="auto"/>
                <w:shd w:val="clear" w:color="auto" w:fill="FFFFFF"/>
              </w:rPr>
              <w:lastRenderedPageBreak/>
              <w:t>31. Банк - оператор критичної інфраструктури має право віднести до ОКІІ інші інформаційні системи, що безпосередньо забезпечують автоматизацію процесів надання банком - оператором критичної інфраструктури банківських, фінансових послуг та здійснення інших видів його діяльності відповідно до статті 47 Закону України “Про банки і банківську діяльність”, надання кваліфікованих електронних довірчих послуг за умови відповідності критеріям, викладеним у підпункті 2 пункту 30 розділу IV цього Положення.</w:t>
            </w:r>
          </w:p>
        </w:tc>
        <w:tc>
          <w:tcPr>
            <w:tcW w:w="7088" w:type="dxa"/>
          </w:tcPr>
          <w:p w14:paraId="6DB99631" w14:textId="59427A7C" w:rsidR="00F5143E" w:rsidRPr="00B452A9" w:rsidRDefault="00F5143E" w:rsidP="00F5143E">
            <w:pPr>
              <w:ind w:firstLine="462"/>
              <w:rPr>
                <w:color w:val="auto"/>
                <w:shd w:val="clear" w:color="auto" w:fill="FFFFFF"/>
              </w:rPr>
            </w:pPr>
          </w:p>
        </w:tc>
      </w:tr>
      <w:tr w:rsidR="00F5143E" w:rsidRPr="00B452A9" w14:paraId="4139CA38" w14:textId="77777777" w:rsidTr="007C3E25">
        <w:tc>
          <w:tcPr>
            <w:tcW w:w="7508" w:type="dxa"/>
          </w:tcPr>
          <w:p w14:paraId="6A8620E4" w14:textId="77777777" w:rsidR="00F5143E" w:rsidRPr="00B452A9" w:rsidRDefault="00F5143E" w:rsidP="00F5143E">
            <w:pPr>
              <w:rPr>
                <w:strike/>
                <w:color w:val="auto"/>
                <w:shd w:val="clear" w:color="auto" w:fill="FFFFFF"/>
              </w:rPr>
            </w:pPr>
            <w:r w:rsidRPr="00B452A9">
              <w:rPr>
                <w:strike/>
                <w:color w:val="auto"/>
                <w:shd w:val="clear" w:color="auto" w:fill="FFFFFF"/>
              </w:rPr>
              <w:t>32. Банк - оператор критичної інфраструктури зобов’язаний протягом місяця з дня отримання повідомлення від Національного банку про внесення відомостей про його об’єкти критичної інфраструктури до реєстру об’єктів критичної інфраструктури:</w:t>
            </w:r>
          </w:p>
          <w:p w14:paraId="01CD02C0" w14:textId="77777777" w:rsidR="00F5143E" w:rsidRPr="00B452A9" w:rsidRDefault="00F5143E" w:rsidP="00F5143E">
            <w:pPr>
              <w:rPr>
                <w:strike/>
                <w:color w:val="auto"/>
                <w:shd w:val="clear" w:color="auto" w:fill="FFFFFF"/>
              </w:rPr>
            </w:pPr>
            <w:r w:rsidRPr="00B452A9">
              <w:rPr>
                <w:strike/>
                <w:color w:val="auto"/>
                <w:shd w:val="clear" w:color="auto" w:fill="FFFFFF"/>
              </w:rPr>
              <w:t>1) сформувати та затвердити перелік інформаційних систем банку - оператора критичної інфраструктури, віднесених до ОКІІ (далі - перелік ОКІІ), відповідно до пунктів 30, 31 розділу IV цього Положення;</w:t>
            </w:r>
          </w:p>
          <w:p w14:paraId="15AE6DE0" w14:textId="6959C89A" w:rsidR="00F5143E" w:rsidRPr="00B452A9" w:rsidRDefault="00F5143E" w:rsidP="00F5143E">
            <w:pPr>
              <w:rPr>
                <w:color w:val="auto"/>
                <w:shd w:val="clear" w:color="auto" w:fill="FFFFFF"/>
              </w:rPr>
            </w:pPr>
            <w:r w:rsidRPr="00B452A9">
              <w:rPr>
                <w:strike/>
                <w:color w:val="auto"/>
                <w:shd w:val="clear" w:color="auto" w:fill="FFFFFF"/>
              </w:rPr>
              <w:t>2) надати затверджений перелік ОКІІ Національному банку в спосіб, установлений у пункті 41 розділу IV цього Положення.</w:t>
            </w:r>
            <w:r w:rsidRPr="00B452A9">
              <w:rPr>
                <w:color w:val="auto"/>
                <w:shd w:val="clear" w:color="auto" w:fill="FFFFFF"/>
              </w:rPr>
              <w:t xml:space="preserve"> </w:t>
            </w:r>
          </w:p>
        </w:tc>
        <w:tc>
          <w:tcPr>
            <w:tcW w:w="7088" w:type="dxa"/>
          </w:tcPr>
          <w:p w14:paraId="0B6BCA3A" w14:textId="6F170A82" w:rsidR="00F5143E" w:rsidRPr="00B452A9" w:rsidRDefault="00F5143E" w:rsidP="00F5143E">
            <w:pPr>
              <w:ind w:firstLine="462"/>
              <w:rPr>
                <w:color w:val="auto"/>
                <w:shd w:val="clear" w:color="auto" w:fill="FFFFFF"/>
              </w:rPr>
            </w:pPr>
          </w:p>
        </w:tc>
      </w:tr>
      <w:tr w:rsidR="00F5143E" w:rsidRPr="00B452A9" w14:paraId="166AD646" w14:textId="77777777" w:rsidTr="007C3E25">
        <w:tc>
          <w:tcPr>
            <w:tcW w:w="7508" w:type="dxa"/>
          </w:tcPr>
          <w:p w14:paraId="610F9431" w14:textId="323FE318" w:rsidR="00F5143E" w:rsidRPr="00B452A9" w:rsidRDefault="00F5143E" w:rsidP="00F5143E">
            <w:pPr>
              <w:rPr>
                <w:strike/>
                <w:color w:val="auto"/>
                <w:shd w:val="clear" w:color="auto" w:fill="FFFFFF"/>
              </w:rPr>
            </w:pPr>
            <w:r w:rsidRPr="00B452A9">
              <w:rPr>
                <w:strike/>
                <w:color w:val="auto"/>
                <w:shd w:val="clear" w:color="auto" w:fill="FFFFFF"/>
              </w:rPr>
              <w:t>33. Банк - оператор критичної інфраструктури зобов’язаний підтримувати в актуальному стані перелік ОКІІ та надавати Національному банку в спосіб, установлений у пункті 41 розділу IV цього Положення, оновлений перелік ОКІІ протягом місяця з дня його затвердження.</w:t>
            </w:r>
          </w:p>
        </w:tc>
        <w:tc>
          <w:tcPr>
            <w:tcW w:w="7088" w:type="dxa"/>
          </w:tcPr>
          <w:p w14:paraId="2DB51171" w14:textId="14B89486" w:rsidR="00F5143E" w:rsidRPr="00B452A9" w:rsidRDefault="00F5143E" w:rsidP="00F5143E">
            <w:pPr>
              <w:ind w:firstLine="462"/>
              <w:rPr>
                <w:color w:val="auto"/>
                <w:shd w:val="clear" w:color="auto" w:fill="FFFFFF"/>
              </w:rPr>
            </w:pPr>
          </w:p>
        </w:tc>
      </w:tr>
      <w:tr w:rsidR="00F5143E" w:rsidRPr="00B452A9" w14:paraId="2762E74F" w14:textId="77777777" w:rsidTr="007C3E25">
        <w:tc>
          <w:tcPr>
            <w:tcW w:w="7508" w:type="dxa"/>
          </w:tcPr>
          <w:p w14:paraId="0F22920F" w14:textId="77777777" w:rsidR="00F5143E" w:rsidRPr="00B452A9" w:rsidRDefault="00F5143E" w:rsidP="00F5143E">
            <w:pPr>
              <w:rPr>
                <w:strike/>
                <w:color w:val="auto"/>
                <w:shd w:val="clear" w:color="auto" w:fill="FFFFFF"/>
              </w:rPr>
            </w:pPr>
            <w:r w:rsidRPr="00B452A9">
              <w:rPr>
                <w:strike/>
                <w:color w:val="auto"/>
                <w:shd w:val="clear" w:color="auto" w:fill="FFFFFF"/>
              </w:rPr>
              <w:lastRenderedPageBreak/>
              <w:t>34. Банк - оператор критичної інфраструктури:</w:t>
            </w:r>
          </w:p>
          <w:p w14:paraId="3BB9CDEB" w14:textId="77777777" w:rsidR="00F5143E" w:rsidRPr="00B452A9" w:rsidRDefault="00F5143E" w:rsidP="00F5143E">
            <w:pPr>
              <w:rPr>
                <w:strike/>
                <w:color w:val="auto"/>
                <w:shd w:val="clear" w:color="auto" w:fill="FFFFFF"/>
              </w:rPr>
            </w:pPr>
            <w:r w:rsidRPr="00B452A9">
              <w:rPr>
                <w:strike/>
                <w:color w:val="auto"/>
                <w:shd w:val="clear" w:color="auto" w:fill="FFFFFF"/>
              </w:rPr>
              <w:t>1) щороку станом на 01 листопада переглядає перелік ОКІІ;</w:t>
            </w:r>
          </w:p>
          <w:p w14:paraId="575ABE90" w14:textId="1A983E18" w:rsidR="00F5143E" w:rsidRPr="00B452A9" w:rsidRDefault="00F5143E" w:rsidP="00F5143E">
            <w:pPr>
              <w:rPr>
                <w:color w:val="auto"/>
                <w:shd w:val="clear" w:color="auto" w:fill="FFFFFF"/>
              </w:rPr>
            </w:pPr>
            <w:r w:rsidRPr="00B452A9">
              <w:rPr>
                <w:strike/>
                <w:color w:val="auto"/>
                <w:shd w:val="clear" w:color="auto" w:fill="FFFFFF"/>
              </w:rPr>
              <w:t>2) про результати перегляду інформує Національний банк щороку до 01 грудня та надає актуалізований перелік ОКІІ (у разі його оновлення) у спосіб, установлений у </w:t>
            </w:r>
            <w:hyperlink r:id="rId9" w:anchor="n179" w:history="1">
              <w:r w:rsidRPr="00B452A9">
                <w:rPr>
                  <w:rStyle w:val="af6"/>
                  <w:strike/>
                  <w:color w:val="auto"/>
                  <w:shd w:val="clear" w:color="auto" w:fill="FFFFFF"/>
                </w:rPr>
                <w:t>пункті 41</w:t>
              </w:r>
            </w:hyperlink>
            <w:r w:rsidRPr="00B452A9">
              <w:rPr>
                <w:strike/>
                <w:color w:val="auto"/>
                <w:shd w:val="clear" w:color="auto" w:fill="FFFFFF"/>
              </w:rPr>
              <w:t> розділу IV цього Положення.</w:t>
            </w:r>
          </w:p>
        </w:tc>
        <w:tc>
          <w:tcPr>
            <w:tcW w:w="7088" w:type="dxa"/>
          </w:tcPr>
          <w:p w14:paraId="72A7B8A1" w14:textId="5E29DCED" w:rsidR="00F5143E" w:rsidRPr="00B452A9" w:rsidRDefault="00F5143E" w:rsidP="00F5143E">
            <w:pPr>
              <w:widowControl w:val="0"/>
              <w:ind w:firstLine="462"/>
              <w:rPr>
                <w:color w:val="auto"/>
                <w:shd w:val="clear" w:color="auto" w:fill="FFFFFF"/>
              </w:rPr>
            </w:pPr>
          </w:p>
        </w:tc>
      </w:tr>
      <w:tr w:rsidR="00F5143E" w:rsidRPr="00B452A9" w14:paraId="7858E511" w14:textId="77777777" w:rsidTr="007C3E25">
        <w:tc>
          <w:tcPr>
            <w:tcW w:w="7508" w:type="dxa"/>
          </w:tcPr>
          <w:p w14:paraId="65666615" w14:textId="71DFA7AB" w:rsidR="00F5143E" w:rsidRPr="00B452A9" w:rsidRDefault="00F5143E" w:rsidP="00F5143E">
            <w:pPr>
              <w:rPr>
                <w:strike/>
                <w:color w:val="auto"/>
                <w:shd w:val="clear" w:color="auto" w:fill="FFFFFF"/>
              </w:rPr>
            </w:pPr>
            <w:r w:rsidRPr="00B452A9">
              <w:rPr>
                <w:strike/>
                <w:color w:val="auto"/>
                <w:shd w:val="clear" w:color="auto" w:fill="FFFFFF"/>
              </w:rPr>
              <w:t xml:space="preserve">35. Банк - оператор критичної інфраструктури зобов'язаний протягом місяця після затвердження переліку ОКІІ або його оновлення: </w:t>
            </w:r>
          </w:p>
          <w:p w14:paraId="2259B0CD" w14:textId="77777777" w:rsidR="00F5143E" w:rsidRPr="00B452A9" w:rsidRDefault="00F5143E" w:rsidP="00F5143E">
            <w:pPr>
              <w:rPr>
                <w:strike/>
                <w:color w:val="auto"/>
                <w:shd w:val="clear" w:color="auto" w:fill="FFFFFF"/>
              </w:rPr>
            </w:pPr>
            <w:r w:rsidRPr="00B452A9">
              <w:rPr>
                <w:strike/>
                <w:color w:val="auto"/>
                <w:shd w:val="clear" w:color="auto" w:fill="FFFFFF"/>
              </w:rPr>
              <w:t>1) сформувати відомості про ОКІІ згідно з додатком до цього Положення;</w:t>
            </w:r>
          </w:p>
          <w:p w14:paraId="6C1A409A" w14:textId="1DAB3AF3" w:rsidR="00F5143E" w:rsidRPr="00B452A9" w:rsidRDefault="00F5143E" w:rsidP="00F5143E">
            <w:pPr>
              <w:rPr>
                <w:strike/>
                <w:color w:val="auto"/>
                <w:shd w:val="clear" w:color="auto" w:fill="FFFFFF"/>
              </w:rPr>
            </w:pPr>
            <w:r w:rsidRPr="00B452A9">
              <w:rPr>
                <w:strike/>
                <w:color w:val="auto"/>
                <w:shd w:val="clear" w:color="auto" w:fill="FFFFFF"/>
              </w:rPr>
              <w:t>2) підписати сформовані відомості за допомогою кваліфікованого електронного підпису CISO банку - оператора критичної інфраструктури;</w:t>
            </w:r>
          </w:p>
          <w:p w14:paraId="63A45279" w14:textId="102CDF28" w:rsidR="00F5143E" w:rsidRPr="00B452A9" w:rsidRDefault="00F5143E" w:rsidP="00F5143E">
            <w:pPr>
              <w:rPr>
                <w:color w:val="auto"/>
                <w:shd w:val="clear" w:color="auto" w:fill="FFFFFF"/>
              </w:rPr>
            </w:pPr>
            <w:r w:rsidRPr="00B452A9">
              <w:rPr>
                <w:strike/>
                <w:color w:val="auto"/>
                <w:shd w:val="clear" w:color="auto" w:fill="FFFFFF"/>
              </w:rPr>
              <w:t>3) надати Національному банку відомості про ОКІІ для внесення до реєстру об'єктів критичної інформаційної інфраструктури в спосіб, установлений у пункті 41 розділу IV цього Положення.</w:t>
            </w:r>
          </w:p>
        </w:tc>
        <w:tc>
          <w:tcPr>
            <w:tcW w:w="7088" w:type="dxa"/>
          </w:tcPr>
          <w:p w14:paraId="388C45A7" w14:textId="79D2C482" w:rsidR="00F5143E" w:rsidRPr="00B452A9" w:rsidRDefault="00F5143E" w:rsidP="00F5143E">
            <w:pPr>
              <w:ind w:firstLine="462"/>
              <w:rPr>
                <w:color w:val="auto"/>
                <w:shd w:val="clear" w:color="auto" w:fill="FFFFFF"/>
              </w:rPr>
            </w:pPr>
          </w:p>
        </w:tc>
      </w:tr>
      <w:tr w:rsidR="00F5143E" w:rsidRPr="00B452A9" w14:paraId="1F5C08AB" w14:textId="77777777" w:rsidTr="007C3E25">
        <w:tc>
          <w:tcPr>
            <w:tcW w:w="7508" w:type="dxa"/>
          </w:tcPr>
          <w:p w14:paraId="364C7C18" w14:textId="0D3C24F5" w:rsidR="00F5143E" w:rsidRPr="00B452A9" w:rsidRDefault="00F5143E" w:rsidP="00F5143E">
            <w:pPr>
              <w:rPr>
                <w:strike/>
                <w:color w:val="auto"/>
                <w:shd w:val="clear" w:color="auto" w:fill="FFFFFF"/>
              </w:rPr>
            </w:pPr>
            <w:r w:rsidRPr="00B452A9">
              <w:rPr>
                <w:strike/>
                <w:color w:val="auto"/>
                <w:shd w:val="clear" w:color="auto" w:fill="FFFFFF"/>
              </w:rPr>
              <w:t xml:space="preserve">36. Банк - оператор критичної інфраструктури зобов'язаний підтримувати в актуальному стані відомості про ОКІІ та надавати Національному банку ці відомості протягом місяця з дня їх актуалізації у спосіб, установлений у пункті 41 розділу IV цього Положення. </w:t>
            </w:r>
          </w:p>
          <w:p w14:paraId="2F41817B" w14:textId="73ADC1DF" w:rsidR="00F5143E" w:rsidRPr="00B452A9" w:rsidRDefault="00F5143E" w:rsidP="00F5143E">
            <w:pPr>
              <w:rPr>
                <w:strike/>
                <w:color w:val="auto"/>
                <w:shd w:val="clear" w:color="auto" w:fill="FFFFFF"/>
              </w:rPr>
            </w:pPr>
            <w:r w:rsidRPr="00B452A9">
              <w:rPr>
                <w:strike/>
                <w:color w:val="auto"/>
                <w:shd w:val="clear" w:color="auto" w:fill="FFFFFF"/>
              </w:rPr>
              <w:t xml:space="preserve">Національний банк має право вимагати від банку - оператора критичної інфраструктури надання додаткової </w:t>
            </w:r>
            <w:r w:rsidRPr="00B452A9">
              <w:rPr>
                <w:strike/>
                <w:color w:val="auto"/>
                <w:shd w:val="clear" w:color="auto" w:fill="FFFFFF"/>
              </w:rPr>
              <w:lastRenderedPageBreak/>
              <w:t>інформації для уточнення відомостей про ОКІІ шляхом направлення запиту.</w:t>
            </w:r>
          </w:p>
          <w:p w14:paraId="11B554E5" w14:textId="556AA1EA" w:rsidR="00F5143E" w:rsidRPr="00B452A9" w:rsidRDefault="00F5143E" w:rsidP="00F5143E">
            <w:pPr>
              <w:rPr>
                <w:strike/>
                <w:color w:val="auto"/>
                <w:shd w:val="clear" w:color="auto" w:fill="FFFFFF"/>
                <w:lang w:val="ru-RU"/>
              </w:rPr>
            </w:pPr>
            <w:r w:rsidRPr="00B452A9">
              <w:rPr>
                <w:strike/>
                <w:color w:val="auto"/>
                <w:shd w:val="clear" w:color="auto" w:fill="FFFFFF"/>
              </w:rPr>
              <w:t>Банк - оператор критичної інфраструктури у відповідь на запит зобов'язаний у строк, визначений у запиті, та в повному обсязі надати уточнювальну інформацію про ОКІІ.</w:t>
            </w:r>
          </w:p>
        </w:tc>
        <w:tc>
          <w:tcPr>
            <w:tcW w:w="7088" w:type="dxa"/>
          </w:tcPr>
          <w:p w14:paraId="3F724F61" w14:textId="2FCE2626" w:rsidR="00F5143E" w:rsidRPr="00B452A9" w:rsidRDefault="00F5143E" w:rsidP="00F5143E">
            <w:pPr>
              <w:ind w:firstLine="462"/>
              <w:rPr>
                <w:color w:val="auto"/>
                <w:shd w:val="clear" w:color="auto" w:fill="FFFFFF"/>
              </w:rPr>
            </w:pPr>
          </w:p>
        </w:tc>
      </w:tr>
      <w:tr w:rsidR="00F5143E" w:rsidRPr="00B452A9" w14:paraId="7BEA4D44" w14:textId="77777777" w:rsidTr="00B0775C">
        <w:tc>
          <w:tcPr>
            <w:tcW w:w="7508" w:type="dxa"/>
          </w:tcPr>
          <w:p w14:paraId="4268164F" w14:textId="77777777" w:rsidR="00F5143E" w:rsidRPr="00B452A9" w:rsidRDefault="00F5143E" w:rsidP="00F5143E">
            <w:pPr>
              <w:rPr>
                <w:strike/>
                <w:color w:val="auto"/>
                <w:shd w:val="clear" w:color="auto" w:fill="FFFFFF"/>
              </w:rPr>
            </w:pPr>
            <w:r w:rsidRPr="00B452A9">
              <w:rPr>
                <w:strike/>
                <w:color w:val="auto"/>
                <w:shd w:val="clear" w:color="auto" w:fill="FFFFFF"/>
              </w:rPr>
              <w:t>37. Банк - оператор критичної інфраструктури зобов'язаний:</w:t>
            </w:r>
          </w:p>
          <w:p w14:paraId="1B05FEBD" w14:textId="77777777" w:rsidR="00F5143E" w:rsidRPr="00B452A9" w:rsidRDefault="00F5143E" w:rsidP="00F5143E">
            <w:pPr>
              <w:rPr>
                <w:strike/>
                <w:color w:val="auto"/>
                <w:shd w:val="clear" w:color="auto" w:fill="FFFFFF"/>
              </w:rPr>
            </w:pPr>
            <w:r w:rsidRPr="00B452A9">
              <w:rPr>
                <w:strike/>
                <w:color w:val="auto"/>
                <w:shd w:val="clear" w:color="auto" w:fill="FFFFFF"/>
              </w:rPr>
              <w:t>1) визначити критичними щодо інформаційної безпеки бізнес-процеси діяльності банку, автоматизацію яких забезпечують ОКІІ, з обов'язковим уключенням їх до сфери застосування системи управління інформаційною безпекою (далі - СУІБ) та упровадженням для них заходів безпеки, використовуючи ризик-орієнтований підхід;</w:t>
            </w:r>
          </w:p>
          <w:p w14:paraId="07BB17E4" w14:textId="77777777" w:rsidR="00F5143E" w:rsidRPr="00B452A9" w:rsidRDefault="00F5143E" w:rsidP="00F5143E">
            <w:pPr>
              <w:rPr>
                <w:strike/>
                <w:color w:val="auto"/>
                <w:shd w:val="clear" w:color="auto" w:fill="FFFFFF"/>
              </w:rPr>
            </w:pPr>
            <w:r w:rsidRPr="00B452A9">
              <w:rPr>
                <w:strike/>
                <w:color w:val="auto"/>
                <w:shd w:val="clear" w:color="auto" w:fill="FFFFFF"/>
              </w:rPr>
              <w:t>2) під час проведення процедури аналізу впливу негативних чинників на процеси діяльності відносити такі бізнес-процеси до вищого рівня критичності та передбачати пріоритетність їх відновлення під час складання плану забезпечення безперервної діяльності;</w:t>
            </w:r>
          </w:p>
          <w:p w14:paraId="331E9C26" w14:textId="48A031C7" w:rsidR="00F5143E" w:rsidRPr="00B452A9" w:rsidRDefault="00F5143E" w:rsidP="00F5143E">
            <w:pPr>
              <w:rPr>
                <w:strike/>
                <w:color w:val="auto"/>
                <w:shd w:val="clear" w:color="auto" w:fill="FFFFFF"/>
              </w:rPr>
            </w:pPr>
            <w:r w:rsidRPr="00B452A9">
              <w:rPr>
                <w:strike/>
                <w:color w:val="auto"/>
                <w:shd w:val="clear" w:color="auto" w:fill="FFFFFF"/>
              </w:rPr>
              <w:t>3) не рідше одного разу на рік проводити тренування щодо відпрацювання заходів Плану реагування, здійснювати тестування плану забезпечення безперервної діяльності та дій банку - оператора критичної інфраструктури в разі виникнення надзвичайних ситуацій у частині, що стосується критичної інформаційної інфраструктури банку, з обов'язковим документуванням результатів такого тестування.</w:t>
            </w:r>
          </w:p>
        </w:tc>
        <w:tc>
          <w:tcPr>
            <w:tcW w:w="7088" w:type="dxa"/>
          </w:tcPr>
          <w:p w14:paraId="516DC9FA" w14:textId="612D8BD7" w:rsidR="00F5143E" w:rsidRPr="00B452A9" w:rsidRDefault="00F5143E" w:rsidP="00F5143E">
            <w:pPr>
              <w:tabs>
                <w:tab w:val="left" w:pos="1134"/>
              </w:tabs>
              <w:ind w:firstLine="462"/>
              <w:rPr>
                <w:b/>
                <w:color w:val="auto"/>
                <w:shd w:val="clear" w:color="auto" w:fill="FFFFFF"/>
              </w:rPr>
            </w:pPr>
          </w:p>
        </w:tc>
      </w:tr>
      <w:tr w:rsidR="00F5143E" w:rsidRPr="00B452A9" w14:paraId="47AD4D90" w14:textId="77777777" w:rsidTr="007C3E25">
        <w:tc>
          <w:tcPr>
            <w:tcW w:w="7508" w:type="dxa"/>
          </w:tcPr>
          <w:p w14:paraId="6B3724E0" w14:textId="77777777" w:rsidR="00F5143E" w:rsidRPr="00B452A9" w:rsidRDefault="00F5143E" w:rsidP="00F5143E">
            <w:pPr>
              <w:rPr>
                <w:strike/>
                <w:color w:val="auto"/>
                <w:shd w:val="clear" w:color="auto" w:fill="FFFFFF"/>
              </w:rPr>
            </w:pPr>
            <w:r w:rsidRPr="00B452A9">
              <w:rPr>
                <w:strike/>
                <w:color w:val="auto"/>
                <w:shd w:val="clear" w:color="auto" w:fill="FFFFFF"/>
              </w:rPr>
              <w:lastRenderedPageBreak/>
              <w:t>38. CISO банку - оператора критичної інфраструктури забезпечує організацію:</w:t>
            </w:r>
          </w:p>
          <w:p w14:paraId="1F992862" w14:textId="77777777" w:rsidR="00F5143E" w:rsidRPr="00B452A9" w:rsidRDefault="00F5143E" w:rsidP="00F5143E">
            <w:pPr>
              <w:rPr>
                <w:strike/>
                <w:color w:val="auto"/>
                <w:shd w:val="clear" w:color="auto" w:fill="FFFFFF"/>
              </w:rPr>
            </w:pPr>
            <w:r w:rsidRPr="00B452A9">
              <w:rPr>
                <w:strike/>
                <w:color w:val="auto"/>
                <w:shd w:val="clear" w:color="auto" w:fill="FFFFFF"/>
              </w:rPr>
              <w:t>1) виконання заходів щодо перегляду та підтримання в актуальному стані переліку ОКІІ, надання актуального переліку ОКІІ до Національного банку відповідно до пунктів 32-34 розділу IV цього Положення;</w:t>
            </w:r>
          </w:p>
          <w:p w14:paraId="41CD29C9" w14:textId="77777777" w:rsidR="00F5143E" w:rsidRPr="00B452A9" w:rsidRDefault="00F5143E" w:rsidP="00F5143E">
            <w:pPr>
              <w:rPr>
                <w:strike/>
                <w:color w:val="auto"/>
                <w:shd w:val="clear" w:color="auto" w:fill="FFFFFF"/>
              </w:rPr>
            </w:pPr>
            <w:r w:rsidRPr="00B452A9">
              <w:rPr>
                <w:strike/>
                <w:color w:val="auto"/>
                <w:shd w:val="clear" w:color="auto" w:fill="FFFFFF"/>
              </w:rPr>
              <w:t>2) виконання заходів щодо перегляду та підтримання в актуальному стані відомостей про ОКІІ, надання актуальних відомостей до Національного банку відповідно до пунктів 35, 36 розділу IV цього Положення;</w:t>
            </w:r>
          </w:p>
          <w:p w14:paraId="14ABDECF" w14:textId="77777777" w:rsidR="00F5143E" w:rsidRPr="00B452A9" w:rsidRDefault="00F5143E" w:rsidP="00F5143E">
            <w:pPr>
              <w:rPr>
                <w:strike/>
                <w:color w:val="auto"/>
                <w:shd w:val="clear" w:color="auto" w:fill="FFFFFF"/>
              </w:rPr>
            </w:pPr>
            <w:r w:rsidRPr="00B452A9">
              <w:rPr>
                <w:strike/>
                <w:color w:val="auto"/>
                <w:shd w:val="clear" w:color="auto" w:fill="FFFFFF"/>
              </w:rPr>
              <w:t>3) участі банку - оператора критичної інфраструктури в інформаційному обміні в порядку, визначеному в розділі III цього Положення;</w:t>
            </w:r>
          </w:p>
          <w:p w14:paraId="2D6C6178" w14:textId="77777777" w:rsidR="00F5143E" w:rsidRPr="00B452A9" w:rsidRDefault="00F5143E" w:rsidP="00F5143E">
            <w:pPr>
              <w:rPr>
                <w:strike/>
                <w:color w:val="auto"/>
                <w:shd w:val="clear" w:color="auto" w:fill="FFFFFF"/>
              </w:rPr>
            </w:pPr>
            <w:r w:rsidRPr="00B452A9">
              <w:rPr>
                <w:strike/>
                <w:color w:val="auto"/>
                <w:shd w:val="clear" w:color="auto" w:fill="FFFFFF"/>
              </w:rPr>
              <w:t>4) пріоритетної реалізації заходів кіберзахисту критичної інформаційної інфраструктури банку - оператора критичної інфраструктури відповідно до розробленого Плану реагування в разі кібератаки (спроби реалізації кіберзагрози) на об’єкти кіберзахисту банку - оператора критичної інфраструктури;</w:t>
            </w:r>
          </w:p>
          <w:p w14:paraId="79EF3B9D" w14:textId="77777777" w:rsidR="00F5143E" w:rsidRPr="00B452A9" w:rsidRDefault="00F5143E" w:rsidP="00F5143E">
            <w:pPr>
              <w:rPr>
                <w:strike/>
                <w:color w:val="auto"/>
                <w:shd w:val="clear" w:color="auto" w:fill="FFFFFF"/>
              </w:rPr>
            </w:pPr>
            <w:r w:rsidRPr="00B452A9">
              <w:rPr>
                <w:strike/>
                <w:color w:val="auto"/>
                <w:shd w:val="clear" w:color="auto" w:fill="FFFFFF"/>
              </w:rPr>
              <w:t>5) надання інформації про аутсорсинг функції кіберзахисту ОКІ на запит Національного банку в обсязі та в термін, що встановлені в такому запиті;</w:t>
            </w:r>
          </w:p>
          <w:p w14:paraId="21EA9F16" w14:textId="4298A19E" w:rsidR="00F5143E" w:rsidRPr="00B452A9" w:rsidRDefault="00F5143E" w:rsidP="00F5143E">
            <w:pPr>
              <w:rPr>
                <w:color w:val="auto"/>
                <w:shd w:val="clear" w:color="auto" w:fill="FFFFFF"/>
              </w:rPr>
            </w:pPr>
            <w:r w:rsidRPr="00B452A9">
              <w:rPr>
                <w:strike/>
                <w:color w:val="auto"/>
                <w:shd w:val="clear" w:color="auto" w:fill="FFFFFF"/>
              </w:rPr>
              <w:t>6) створення умов для підвищення кваліфікації працівників підрозділу з питань кіберзахисту, навчання працівників банку - оператора критичної інфраструктури стосовно цифрових навичок, кіберобізнаності щодо сучасних кіберзагроз та протидії їм.</w:t>
            </w:r>
          </w:p>
        </w:tc>
        <w:tc>
          <w:tcPr>
            <w:tcW w:w="7088" w:type="dxa"/>
          </w:tcPr>
          <w:p w14:paraId="2D4EEB80" w14:textId="7184BCC0" w:rsidR="00F5143E" w:rsidRPr="00B452A9" w:rsidRDefault="00F5143E" w:rsidP="00F5143E">
            <w:pPr>
              <w:ind w:firstLine="462"/>
              <w:rPr>
                <w:color w:val="auto"/>
                <w:shd w:val="clear" w:color="auto" w:fill="FFFFFF"/>
              </w:rPr>
            </w:pPr>
          </w:p>
        </w:tc>
      </w:tr>
      <w:tr w:rsidR="00F5143E" w:rsidRPr="00B452A9" w14:paraId="0775728D" w14:textId="77777777" w:rsidTr="007C3E25">
        <w:tc>
          <w:tcPr>
            <w:tcW w:w="7508" w:type="dxa"/>
          </w:tcPr>
          <w:p w14:paraId="5E8572C4" w14:textId="3A164DC6" w:rsidR="00F5143E" w:rsidRPr="00B452A9" w:rsidRDefault="00F5143E" w:rsidP="00F5143E">
            <w:pPr>
              <w:rPr>
                <w:strike/>
                <w:color w:val="auto"/>
                <w:shd w:val="clear" w:color="auto" w:fill="FFFFFF"/>
              </w:rPr>
            </w:pPr>
            <w:r w:rsidRPr="00B452A9">
              <w:rPr>
                <w:strike/>
                <w:color w:val="auto"/>
                <w:shd w:val="clear" w:color="auto" w:fill="FFFFFF"/>
              </w:rPr>
              <w:lastRenderedPageBreak/>
              <w:t>39. Зв'язок технологічної платформи критичної інформаційної інфраструктури банку - оператора критичної інфраструктури з мережею Інтернет повинен здійснюватися з використанням двох або більше каналів передавання даних, що надаються різними операторами, провайдерами телекомунікацій через захищені вузли доступу з мережі Інтернет.</w:t>
            </w:r>
          </w:p>
        </w:tc>
        <w:tc>
          <w:tcPr>
            <w:tcW w:w="7088" w:type="dxa"/>
          </w:tcPr>
          <w:p w14:paraId="4090A0CB" w14:textId="7C2279CA" w:rsidR="00F5143E" w:rsidRPr="00B452A9" w:rsidRDefault="00F5143E" w:rsidP="00F5143E">
            <w:pPr>
              <w:ind w:firstLine="462"/>
              <w:rPr>
                <w:color w:val="auto"/>
                <w:shd w:val="clear" w:color="auto" w:fill="FFFFFF"/>
              </w:rPr>
            </w:pPr>
          </w:p>
        </w:tc>
      </w:tr>
      <w:tr w:rsidR="00F5143E" w:rsidRPr="00B452A9" w14:paraId="30099A9C" w14:textId="77777777" w:rsidTr="007C3E25">
        <w:tc>
          <w:tcPr>
            <w:tcW w:w="7508" w:type="dxa"/>
          </w:tcPr>
          <w:p w14:paraId="3FB846CA" w14:textId="64FB2EDC" w:rsidR="00F5143E" w:rsidRPr="00B452A9" w:rsidRDefault="00F5143E" w:rsidP="00F5143E">
            <w:pPr>
              <w:rPr>
                <w:strike/>
                <w:color w:val="auto"/>
                <w:shd w:val="clear" w:color="auto" w:fill="FFFFFF"/>
              </w:rPr>
            </w:pPr>
            <w:r w:rsidRPr="00B452A9">
              <w:rPr>
                <w:strike/>
                <w:color w:val="auto"/>
                <w:shd w:val="clear" w:color="auto" w:fill="FFFFFF"/>
              </w:rPr>
              <w:t>40. Використання банком - оператором критичної інфраструктури програмних, апаратних, програмно-апаратних засобів у складі об'єкта критичної інформаційної інфраструктури здійснюється з урахуванням вимог Законів України "Про санкції", "Про основні засади забезпечення кібербезпеки України", інших законів України.</w:t>
            </w:r>
          </w:p>
        </w:tc>
        <w:tc>
          <w:tcPr>
            <w:tcW w:w="7088" w:type="dxa"/>
          </w:tcPr>
          <w:p w14:paraId="1B809CBC" w14:textId="312F582A" w:rsidR="00F5143E" w:rsidRPr="00B452A9" w:rsidRDefault="00F5143E" w:rsidP="00F5143E">
            <w:pPr>
              <w:ind w:firstLine="462"/>
              <w:rPr>
                <w:color w:val="auto"/>
                <w:shd w:val="clear" w:color="auto" w:fill="FFFFFF"/>
              </w:rPr>
            </w:pPr>
          </w:p>
        </w:tc>
      </w:tr>
      <w:tr w:rsidR="00F5143E" w:rsidRPr="00B452A9" w14:paraId="44C7AEB1" w14:textId="77777777" w:rsidTr="007C3E25">
        <w:tc>
          <w:tcPr>
            <w:tcW w:w="7508" w:type="dxa"/>
          </w:tcPr>
          <w:p w14:paraId="7B7D22FE" w14:textId="10F77B07" w:rsidR="00F5143E" w:rsidRPr="00B452A9" w:rsidRDefault="00F5143E" w:rsidP="00F5143E">
            <w:pPr>
              <w:rPr>
                <w:strike/>
                <w:color w:val="auto"/>
                <w:shd w:val="clear" w:color="auto" w:fill="FFFFFF"/>
              </w:rPr>
            </w:pPr>
            <w:r w:rsidRPr="00B452A9">
              <w:rPr>
                <w:strike/>
                <w:color w:val="auto"/>
                <w:shd w:val="clear" w:color="auto" w:fill="FFFFFF"/>
              </w:rPr>
              <w:t>41. Відомості про ОКІІ є інформацією з обмеженим доступом. Банки - оператори критичної інфраструктури зобов’язані надавати інформацію (інформування про перегляд переліків ОКІІ, переліки ОКІІ, відомості про ОКІІ) у випадках, визначених у пунктах 32-36 розділу IV цього Положення, в електронній формі через АРМ-НБУ-інформаційний.</w:t>
            </w:r>
          </w:p>
        </w:tc>
        <w:tc>
          <w:tcPr>
            <w:tcW w:w="7088" w:type="dxa"/>
          </w:tcPr>
          <w:p w14:paraId="0AB45FB1" w14:textId="1104463E" w:rsidR="00F5143E" w:rsidRPr="00B452A9" w:rsidRDefault="00F5143E" w:rsidP="00F5143E">
            <w:pPr>
              <w:ind w:firstLine="462"/>
              <w:rPr>
                <w:color w:val="auto"/>
                <w:shd w:val="clear" w:color="auto" w:fill="FFFFFF"/>
              </w:rPr>
            </w:pPr>
          </w:p>
        </w:tc>
      </w:tr>
      <w:tr w:rsidR="00F5143E" w:rsidRPr="00B452A9" w14:paraId="447128BF" w14:textId="77777777" w:rsidTr="007C3E25">
        <w:tc>
          <w:tcPr>
            <w:tcW w:w="7508" w:type="dxa"/>
          </w:tcPr>
          <w:p w14:paraId="1A23B717" w14:textId="2F6D2F19" w:rsidR="00F5143E" w:rsidRPr="00B452A9" w:rsidRDefault="00F5143E" w:rsidP="00F5143E">
            <w:pPr>
              <w:rPr>
                <w:strike/>
                <w:color w:val="auto"/>
                <w:shd w:val="clear" w:color="auto" w:fill="FFFFFF"/>
              </w:rPr>
            </w:pPr>
            <w:r w:rsidRPr="00B452A9">
              <w:rPr>
                <w:bCs/>
                <w:color w:val="auto"/>
                <w:shd w:val="clear" w:color="auto" w:fill="FFFFFF"/>
              </w:rPr>
              <w:t>V. Вимоги до проведення аудиту інформаційної безпеки в банківській системі України</w:t>
            </w:r>
          </w:p>
        </w:tc>
        <w:tc>
          <w:tcPr>
            <w:tcW w:w="7088" w:type="dxa"/>
          </w:tcPr>
          <w:p w14:paraId="6733AC98" w14:textId="0E3064F7" w:rsidR="00F5143E" w:rsidRPr="00B452A9" w:rsidRDefault="00F5143E" w:rsidP="00F5143E">
            <w:pPr>
              <w:ind w:firstLine="462"/>
              <w:rPr>
                <w:color w:val="auto"/>
                <w:shd w:val="clear" w:color="auto" w:fill="FFFFFF"/>
              </w:rPr>
            </w:pPr>
            <w:r w:rsidRPr="00B452A9">
              <w:rPr>
                <w:bCs/>
                <w:color w:val="auto"/>
                <w:shd w:val="clear" w:color="auto" w:fill="FFFFFF"/>
              </w:rPr>
              <w:t>V. Вимоги до проведення аудиту інформаційної безпеки в банківській системі України</w:t>
            </w:r>
          </w:p>
        </w:tc>
      </w:tr>
      <w:tr w:rsidR="00F5143E" w:rsidRPr="00B452A9" w14:paraId="56D72223" w14:textId="77777777" w:rsidTr="007C3E25">
        <w:tc>
          <w:tcPr>
            <w:tcW w:w="7508" w:type="dxa"/>
          </w:tcPr>
          <w:p w14:paraId="5AAEAC05" w14:textId="77777777" w:rsidR="00F5143E" w:rsidRPr="00B452A9" w:rsidRDefault="00F5143E" w:rsidP="00F5143E">
            <w:pPr>
              <w:rPr>
                <w:bCs/>
                <w:color w:val="auto"/>
                <w:shd w:val="clear" w:color="auto" w:fill="FFFFFF"/>
              </w:rPr>
            </w:pPr>
            <w:r w:rsidRPr="00B452A9">
              <w:rPr>
                <w:bCs/>
                <w:color w:val="auto"/>
                <w:shd w:val="clear" w:color="auto" w:fill="FFFFFF"/>
              </w:rPr>
              <w:t>42. Банк зобов’язаний проводити незалежний аудит інформаційної безпеки (далі - зовнішній аудит).</w:t>
            </w:r>
          </w:p>
          <w:p w14:paraId="3711CB0E" w14:textId="77777777" w:rsidR="00F5143E" w:rsidRPr="00B452A9" w:rsidRDefault="00F5143E" w:rsidP="00F5143E">
            <w:pPr>
              <w:rPr>
                <w:bCs/>
                <w:color w:val="auto"/>
                <w:shd w:val="clear" w:color="auto" w:fill="FFFFFF"/>
              </w:rPr>
            </w:pPr>
            <w:r w:rsidRPr="00B452A9">
              <w:rPr>
                <w:bCs/>
                <w:color w:val="auto"/>
                <w:shd w:val="clear" w:color="auto" w:fill="FFFFFF"/>
              </w:rPr>
              <w:t xml:space="preserve">Банк самостійно встановлює періодичність проведення зовнішнього аудиту. Періодичність проведення зовнішнього </w:t>
            </w:r>
            <w:r w:rsidRPr="00B452A9">
              <w:rPr>
                <w:bCs/>
                <w:color w:val="auto"/>
                <w:shd w:val="clear" w:color="auto" w:fill="FFFFFF"/>
              </w:rPr>
              <w:lastRenderedPageBreak/>
              <w:t xml:space="preserve">аудиту для банку - </w:t>
            </w:r>
            <w:r w:rsidRPr="00521CFF">
              <w:rPr>
                <w:bCs/>
                <w:strike/>
                <w:color w:val="auto"/>
                <w:shd w:val="clear" w:color="auto" w:fill="FFFFFF"/>
              </w:rPr>
              <w:t>оператора критичної інфраструктури</w:t>
            </w:r>
            <w:r w:rsidRPr="00B452A9">
              <w:rPr>
                <w:bCs/>
                <w:color w:val="auto"/>
                <w:shd w:val="clear" w:color="auto" w:fill="FFFFFF"/>
              </w:rPr>
              <w:t xml:space="preserve"> залежить від категорії критичності </w:t>
            </w:r>
            <w:r w:rsidRPr="00B452A9">
              <w:rPr>
                <w:bCs/>
                <w:strike/>
                <w:color w:val="auto"/>
                <w:shd w:val="clear" w:color="auto" w:fill="FFFFFF"/>
              </w:rPr>
              <w:t>ОКІ</w:t>
            </w:r>
            <w:r w:rsidRPr="00B452A9">
              <w:rPr>
                <w:bCs/>
                <w:color w:val="auto"/>
                <w:shd w:val="clear" w:color="auto" w:fill="FFFFFF"/>
              </w:rPr>
              <w:t xml:space="preserve"> та становить:</w:t>
            </w:r>
          </w:p>
          <w:p w14:paraId="531F5377" w14:textId="71D01161" w:rsidR="00F5143E" w:rsidRPr="00B452A9" w:rsidRDefault="00F5143E" w:rsidP="00F5143E">
            <w:pPr>
              <w:rPr>
                <w:bCs/>
                <w:color w:val="auto"/>
                <w:shd w:val="clear" w:color="auto" w:fill="FFFFFF"/>
              </w:rPr>
            </w:pPr>
            <w:r w:rsidRPr="00B452A9">
              <w:rPr>
                <w:bCs/>
                <w:color w:val="auto"/>
                <w:shd w:val="clear" w:color="auto" w:fill="FFFFFF"/>
              </w:rPr>
              <w:t>…</w:t>
            </w:r>
          </w:p>
        </w:tc>
        <w:tc>
          <w:tcPr>
            <w:tcW w:w="7088" w:type="dxa"/>
          </w:tcPr>
          <w:p w14:paraId="055AA769" w14:textId="77777777" w:rsidR="00F5143E" w:rsidRPr="00B452A9" w:rsidRDefault="00F5143E" w:rsidP="00F5143E">
            <w:pPr>
              <w:ind w:firstLine="462"/>
              <w:rPr>
                <w:bCs/>
                <w:color w:val="auto"/>
                <w:shd w:val="clear" w:color="auto" w:fill="FFFFFF"/>
              </w:rPr>
            </w:pPr>
            <w:r w:rsidRPr="00B452A9">
              <w:rPr>
                <w:bCs/>
                <w:color w:val="auto"/>
                <w:shd w:val="clear" w:color="auto" w:fill="FFFFFF"/>
              </w:rPr>
              <w:lastRenderedPageBreak/>
              <w:t>42. Банк зобов’язаний проводити незалежний аудит інформаційної безпеки (далі - зовнішній аудит).</w:t>
            </w:r>
          </w:p>
          <w:p w14:paraId="01D5092B" w14:textId="75A544E6" w:rsidR="00F5143E" w:rsidRPr="00B452A9" w:rsidRDefault="00F5143E" w:rsidP="00F5143E">
            <w:pPr>
              <w:ind w:firstLine="462"/>
              <w:rPr>
                <w:bCs/>
                <w:color w:val="auto"/>
                <w:shd w:val="clear" w:color="auto" w:fill="FFFFFF"/>
              </w:rPr>
            </w:pPr>
            <w:r w:rsidRPr="00B452A9">
              <w:rPr>
                <w:bCs/>
                <w:color w:val="auto"/>
                <w:shd w:val="clear" w:color="auto" w:fill="FFFFFF"/>
              </w:rPr>
              <w:t xml:space="preserve">Банк самостійно встановлює періодичність проведення зовнішнього аудиту. Періодичність проведення зовнішнього аудиту для банку - </w:t>
            </w:r>
            <w:r w:rsidRPr="00521CFF">
              <w:rPr>
                <w:b/>
                <w:bCs/>
                <w:color w:val="auto"/>
                <w:shd w:val="clear" w:color="auto" w:fill="FFFFFF"/>
              </w:rPr>
              <w:t>Оператора</w:t>
            </w:r>
            <w:r w:rsidRPr="00B452A9">
              <w:rPr>
                <w:bCs/>
                <w:color w:val="auto"/>
                <w:shd w:val="clear" w:color="auto" w:fill="FFFFFF"/>
              </w:rPr>
              <w:t xml:space="preserve"> </w:t>
            </w:r>
            <w:r w:rsidRPr="00B452A9">
              <w:rPr>
                <w:bCs/>
                <w:color w:val="auto"/>
                <w:shd w:val="clear" w:color="auto" w:fill="FFFFFF"/>
              </w:rPr>
              <w:lastRenderedPageBreak/>
              <w:t xml:space="preserve">залежить від категорії критичності </w:t>
            </w:r>
            <w:r w:rsidRPr="00B452A9">
              <w:rPr>
                <w:b/>
                <w:bCs/>
                <w:color w:val="auto"/>
                <w:shd w:val="clear" w:color="auto" w:fill="FFFFFF"/>
              </w:rPr>
              <w:t xml:space="preserve">об’єктів критичної інфраструктури </w:t>
            </w:r>
            <w:r w:rsidRPr="00B452A9">
              <w:rPr>
                <w:bCs/>
                <w:color w:val="auto"/>
                <w:shd w:val="clear" w:color="auto" w:fill="FFFFFF"/>
              </w:rPr>
              <w:t xml:space="preserve"> та становить:</w:t>
            </w:r>
          </w:p>
          <w:p w14:paraId="73D1E8A6" w14:textId="64CD5591" w:rsidR="00F5143E" w:rsidRPr="00B452A9" w:rsidRDefault="00F5143E" w:rsidP="00F5143E">
            <w:pPr>
              <w:ind w:firstLine="462"/>
              <w:rPr>
                <w:bCs/>
                <w:color w:val="auto"/>
                <w:shd w:val="clear" w:color="auto" w:fill="FFFFFF"/>
              </w:rPr>
            </w:pPr>
            <w:r w:rsidRPr="00B452A9">
              <w:rPr>
                <w:bCs/>
                <w:color w:val="auto"/>
                <w:shd w:val="clear" w:color="auto" w:fill="FFFFFF"/>
              </w:rPr>
              <w:t>…</w:t>
            </w:r>
          </w:p>
        </w:tc>
      </w:tr>
      <w:tr w:rsidR="00F5143E" w:rsidRPr="00B452A9" w14:paraId="5ACD0237" w14:textId="77777777" w:rsidTr="00983D82">
        <w:tc>
          <w:tcPr>
            <w:tcW w:w="7508" w:type="dxa"/>
          </w:tcPr>
          <w:p w14:paraId="10BEF944" w14:textId="77777777" w:rsidR="00F5143E" w:rsidRPr="00B452A9" w:rsidRDefault="00F5143E" w:rsidP="00F5143E">
            <w:pPr>
              <w:shd w:val="clear" w:color="auto" w:fill="FFFFFF"/>
              <w:tabs>
                <w:tab w:val="left" w:pos="6804"/>
              </w:tabs>
              <w:ind w:left="3991" w:right="284" w:hanging="2104"/>
              <w:jc w:val="left"/>
              <w:rPr>
                <w:strike/>
                <w:color w:val="auto"/>
                <w:szCs w:val="24"/>
              </w:rPr>
            </w:pPr>
            <w:r w:rsidRPr="00B452A9">
              <w:rPr>
                <w:strike/>
                <w:color w:val="auto"/>
                <w:szCs w:val="24"/>
              </w:rPr>
              <w:lastRenderedPageBreak/>
              <w:t xml:space="preserve">                              Додаток </w:t>
            </w:r>
          </w:p>
          <w:p w14:paraId="096D5E6D" w14:textId="77777777" w:rsidR="00F5143E" w:rsidRPr="00B452A9" w:rsidRDefault="00F5143E" w:rsidP="00F5143E">
            <w:pPr>
              <w:shd w:val="clear" w:color="auto" w:fill="FFFFFF"/>
              <w:tabs>
                <w:tab w:val="left" w:pos="6804"/>
              </w:tabs>
              <w:ind w:left="3991" w:right="284" w:hanging="2104"/>
              <w:jc w:val="left"/>
              <w:rPr>
                <w:b/>
                <w:bCs/>
                <w:strike/>
                <w:color w:val="auto"/>
                <w:szCs w:val="24"/>
              </w:rPr>
            </w:pPr>
            <w:r w:rsidRPr="00B452A9">
              <w:rPr>
                <w:strike/>
                <w:color w:val="auto"/>
                <w:szCs w:val="24"/>
              </w:rPr>
              <w:t xml:space="preserve">                              до Положення про організацію кіберзахисту в банківській системі України</w:t>
            </w:r>
            <w:r w:rsidRPr="00B452A9">
              <w:rPr>
                <w:strike/>
                <w:color w:val="auto"/>
                <w:szCs w:val="24"/>
              </w:rPr>
              <w:br/>
              <w:t xml:space="preserve">(підпункт 1 пункту 35 розділу </w:t>
            </w:r>
            <w:r w:rsidRPr="00B452A9">
              <w:rPr>
                <w:strike/>
                <w:color w:val="auto"/>
              </w:rPr>
              <w:t>IV</w:t>
            </w:r>
            <w:r w:rsidRPr="00B452A9">
              <w:rPr>
                <w:strike/>
                <w:color w:val="auto"/>
                <w:szCs w:val="24"/>
              </w:rPr>
              <w:t>)</w:t>
            </w:r>
          </w:p>
          <w:p w14:paraId="43CC4254" w14:textId="77777777" w:rsidR="00F5143E" w:rsidRPr="00B452A9" w:rsidRDefault="00F5143E" w:rsidP="00F5143E">
            <w:pPr>
              <w:tabs>
                <w:tab w:val="left" w:pos="993"/>
              </w:tabs>
              <w:ind w:left="3991" w:hanging="2104"/>
              <w:jc w:val="left"/>
              <w:rPr>
                <w:strike/>
                <w:color w:val="auto"/>
              </w:rPr>
            </w:pPr>
          </w:p>
          <w:p w14:paraId="0E197C57" w14:textId="77777777" w:rsidR="00F5143E" w:rsidRPr="00B452A9" w:rsidRDefault="00F5143E" w:rsidP="00F5143E">
            <w:pPr>
              <w:tabs>
                <w:tab w:val="left" w:pos="993"/>
              </w:tabs>
              <w:jc w:val="left"/>
              <w:rPr>
                <w:strike/>
                <w:color w:val="auto"/>
              </w:rPr>
            </w:pPr>
          </w:p>
          <w:p w14:paraId="609A4A49" w14:textId="77777777" w:rsidR="00F5143E" w:rsidRPr="00B452A9" w:rsidRDefault="00F5143E" w:rsidP="00F5143E">
            <w:pPr>
              <w:shd w:val="clear" w:color="auto" w:fill="FFFFFF"/>
              <w:spacing w:before="150" w:after="150"/>
              <w:ind w:right="450" w:firstLine="731"/>
              <w:rPr>
                <w:bCs/>
                <w:strike/>
                <w:color w:val="auto"/>
              </w:rPr>
            </w:pPr>
            <w:r w:rsidRPr="00B452A9">
              <w:rPr>
                <w:bCs/>
                <w:strike/>
                <w:color w:val="auto"/>
              </w:rPr>
              <w:t>I. Відомості про ОКІІ</w:t>
            </w:r>
          </w:p>
          <w:p w14:paraId="73F11D8A"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1. Повне найменування банку - оператора критичної інфраструктури, адреса його місцезнаходження (індекс, область, місто, вулиця, номер будинку), форма власності, код за ЄДРПОУ.</w:t>
            </w:r>
          </w:p>
          <w:p w14:paraId="34BAD07C"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2. Повне найменування за ЄДРПОУ надавача (надавачів) послуг із доступу до мережі Інтернет, код за ЄДРПОУ, перелік послуг із кіберзахисту (відповідно до договору отримання банком - оператором критичної інфраструктури послуг із доступу до мережі Інтернет).</w:t>
            </w:r>
          </w:p>
          <w:p w14:paraId="1F879A88"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3. Діапазон зовнішніх IP-адрес банку - оператора критичної інфраструктури.</w:t>
            </w:r>
          </w:p>
          <w:p w14:paraId="24ADCE42"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lastRenderedPageBreak/>
              <w:t>4. Відомості про ОКІІ:</w:t>
            </w:r>
          </w:p>
          <w:p w14:paraId="1CD98659"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1) повне найменування ОКІІ відповідно до документа про введення в експлуатацію, дата введення в експлуатацію, повне найменування юридичної особи - виробника та країна його походження, наявність та кінцевий термін технічної підтримки;</w:t>
            </w:r>
          </w:p>
          <w:p w14:paraId="0D3BA902"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2) повна назва об’єкта критичної інфраструктури, до складу якого входить ОКІІ [у разі віднесення об’єкта до критичної інформаційної інфраструктури відповідно до пункту 30 розділу IV Положення про організацію кіберзахисту в банківській системі України (далі - Положення)], призначення ОКІІ, перелік банківських, фінансових та інших видів його діяльності, надання яких він забезпечує (у разі віднесення об’єкта до критичної інформаційної інфраструктури відповідно до пункту 31 розділу IV Положення);</w:t>
            </w:r>
          </w:p>
          <w:p w14:paraId="57B5BA13"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3) повне найменування юридичної особи - власника та адреса фактичного розташування (індекс, область, місто, вулиця, номер будинку) технологічної платформи ОКІІ;</w:t>
            </w:r>
          </w:p>
          <w:p w14:paraId="15D655D5"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4) вид інформації за порядком доступу, що обробляється на ОКІІ;</w:t>
            </w:r>
          </w:p>
          <w:p w14:paraId="6725C320"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5) наявність інформаційного обміну ОКІІ з іншими інформаційними системами, повна назва цих систем, повне найменування юридичної особи - власника;</w:t>
            </w:r>
          </w:p>
          <w:p w14:paraId="6BFE57BE"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lastRenderedPageBreak/>
              <w:t>6) уніфіковані ідентифікатори (англійською мовою Uniform Resource Identifier) ОКІІ, що опубліковані в мережі Інтернет.</w:t>
            </w:r>
          </w:p>
          <w:p w14:paraId="17C26C95"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II. Пояснення до заповнення додатка</w:t>
            </w:r>
          </w:p>
          <w:p w14:paraId="7260DF6A" w14:textId="77777777" w:rsidR="00F5143E" w:rsidRPr="00B452A9" w:rsidRDefault="00F5143E" w:rsidP="00F5143E">
            <w:pPr>
              <w:shd w:val="clear" w:color="auto" w:fill="FFFFFF"/>
              <w:spacing w:before="150" w:after="150"/>
              <w:ind w:right="39" w:firstLine="731"/>
              <w:rPr>
                <w:bCs/>
                <w:strike/>
                <w:color w:val="auto"/>
              </w:rPr>
            </w:pPr>
            <w:r w:rsidRPr="00B452A9">
              <w:rPr>
                <w:bCs/>
                <w:strike/>
                <w:color w:val="auto"/>
              </w:rPr>
              <w:t>5. Під час викладення відомостей про ОКІІ потрібно надавати інформацію в розрізі кожного ОКІІ (4-1, 4-2, 4-3, ...).</w:t>
            </w:r>
          </w:p>
          <w:p w14:paraId="3EEB2982" w14:textId="192F8867" w:rsidR="00F5143E" w:rsidRPr="00B452A9" w:rsidRDefault="00F5143E" w:rsidP="00F5143E">
            <w:pPr>
              <w:tabs>
                <w:tab w:val="left" w:pos="1134"/>
              </w:tabs>
              <w:autoSpaceDE w:val="0"/>
              <w:autoSpaceDN w:val="0"/>
              <w:adjustRightInd w:val="0"/>
              <w:spacing w:line="320" w:lineRule="exact"/>
              <w:ind w:right="39" w:firstLine="731"/>
              <w:rPr>
                <w:strike/>
                <w:color w:val="auto"/>
                <w:shd w:val="clear" w:color="auto" w:fill="FFFFFF"/>
              </w:rPr>
            </w:pPr>
            <w:r w:rsidRPr="00B452A9">
              <w:rPr>
                <w:bCs/>
                <w:strike/>
                <w:color w:val="auto"/>
              </w:rPr>
              <w:t>6. Під час надання інформації, зазначеної в підпункті 2 пункту 4 розділу I цього додатка, потрібно зазначити послуги відповідно до статті 47 Закону України "Про банки і банківську діяльність".</w:t>
            </w:r>
            <w:r w:rsidRPr="00B452A9">
              <w:rPr>
                <w:bCs/>
                <w:strike/>
                <w:color w:val="auto"/>
                <w:shd w:val="clear" w:color="auto" w:fill="FFFFFF"/>
              </w:rPr>
              <w:t xml:space="preserve"> </w:t>
            </w:r>
            <w:bookmarkStart w:id="5" w:name="n43"/>
            <w:bookmarkEnd w:id="5"/>
          </w:p>
        </w:tc>
        <w:tc>
          <w:tcPr>
            <w:tcW w:w="7088" w:type="dxa"/>
          </w:tcPr>
          <w:p w14:paraId="0C084181" w14:textId="0B9B1A2C" w:rsidR="00F5143E" w:rsidRPr="00B452A9" w:rsidRDefault="00F5143E" w:rsidP="00F5143E">
            <w:pPr>
              <w:shd w:val="clear" w:color="auto" w:fill="FFFFFF"/>
              <w:tabs>
                <w:tab w:val="left" w:pos="6804"/>
              </w:tabs>
              <w:ind w:left="4430" w:right="284" w:hanging="2090"/>
              <w:jc w:val="left"/>
              <w:rPr>
                <w:rFonts w:eastAsiaTheme="minorHAnsi" w:cstheme="minorBidi"/>
                <w:strike/>
                <w:color w:val="auto"/>
              </w:rPr>
            </w:pPr>
            <w:r w:rsidRPr="00B452A9">
              <w:rPr>
                <w:rFonts w:eastAsiaTheme="minorHAnsi" w:cstheme="minorBidi"/>
                <w:strike/>
                <w:color w:val="auto"/>
              </w:rPr>
              <w:lastRenderedPageBreak/>
              <w:t xml:space="preserve">                            </w:t>
            </w:r>
          </w:p>
          <w:p w14:paraId="16BC8F2A" w14:textId="5EE4A761" w:rsidR="00F5143E" w:rsidRPr="00B452A9" w:rsidRDefault="00F5143E" w:rsidP="00F5143E">
            <w:pPr>
              <w:pStyle w:val="a4"/>
              <w:shd w:val="clear" w:color="auto" w:fill="FFFFFF"/>
              <w:tabs>
                <w:tab w:val="left" w:pos="720"/>
                <w:tab w:val="left" w:pos="851"/>
                <w:tab w:val="left" w:pos="993"/>
                <w:tab w:val="left" w:pos="1134"/>
              </w:tabs>
              <w:ind w:left="0" w:firstLine="567"/>
              <w:contextualSpacing w:val="0"/>
              <w:jc w:val="left"/>
              <w:rPr>
                <w:strike/>
                <w:lang w:val="uk-UA"/>
              </w:rPr>
            </w:pPr>
            <w:r w:rsidRPr="00B452A9">
              <w:rPr>
                <w:strike/>
                <w:lang w:val="uk-UA"/>
              </w:rPr>
              <w:t xml:space="preserve"> </w:t>
            </w:r>
            <w:bookmarkStart w:id="6" w:name="n93"/>
            <w:bookmarkEnd w:id="6"/>
          </w:p>
        </w:tc>
      </w:tr>
    </w:tbl>
    <w:p w14:paraId="30474F78" w14:textId="6DBDC072" w:rsidR="00E965B3" w:rsidRDefault="00E965B3" w:rsidP="00E875F3">
      <w:pPr>
        <w:jc w:val="left"/>
        <w:rPr>
          <w:strike/>
        </w:rPr>
      </w:pPr>
    </w:p>
    <w:p w14:paraId="238CD89E" w14:textId="4A9ABE76" w:rsidR="00764A72" w:rsidRDefault="00764A72" w:rsidP="00E875F3">
      <w:pPr>
        <w:jc w:val="left"/>
        <w:rPr>
          <w:strike/>
        </w:rPr>
      </w:pPr>
    </w:p>
    <w:p w14:paraId="2359B80C" w14:textId="6411A001" w:rsidR="00764A72" w:rsidRPr="002D6A6B" w:rsidRDefault="00764A72" w:rsidP="002250A5">
      <w:pPr>
        <w:ind w:firstLine="0"/>
        <w:jc w:val="left"/>
      </w:pPr>
      <w:r w:rsidRPr="002D6A6B">
        <w:rPr>
          <w:rFonts w:eastAsiaTheme="minorEastAsia"/>
        </w:rPr>
        <w:t>Дире</w:t>
      </w:r>
      <w:r>
        <w:rPr>
          <w:rFonts w:eastAsiaTheme="minorEastAsia"/>
        </w:rPr>
        <w:t>ктор</w:t>
      </w:r>
      <w:r w:rsidR="002250A5">
        <w:rPr>
          <w:rFonts w:eastAsiaTheme="minorEastAsia"/>
        </w:rPr>
        <w:t xml:space="preserve"> </w:t>
      </w:r>
      <w:r w:rsidRPr="002D6A6B">
        <w:rPr>
          <w:rFonts w:eastAsiaTheme="minorEastAsia"/>
        </w:rPr>
        <w:t xml:space="preserve">Департаменту безпеки                              </w:t>
      </w:r>
      <w:r w:rsidR="002250A5">
        <w:rPr>
          <w:rFonts w:eastAsiaTheme="minorEastAsia"/>
        </w:rPr>
        <w:t xml:space="preserve">                                                            </w:t>
      </w:r>
      <w:r w:rsidRPr="002D6A6B">
        <w:rPr>
          <w:rFonts w:eastAsiaTheme="minorEastAsia"/>
        </w:rPr>
        <w:t xml:space="preserve">  Олександр ПАЛАМАРЧУК</w:t>
      </w:r>
      <w:r w:rsidRPr="002D6A6B">
        <w:rPr>
          <w:rFonts w:eastAsiaTheme="minorEastAsia"/>
          <w:sz w:val="24"/>
          <w:szCs w:val="24"/>
        </w:rPr>
        <w:t xml:space="preserve"> </w:t>
      </w:r>
    </w:p>
    <w:p w14:paraId="2D898F75" w14:textId="77777777" w:rsidR="00764A72" w:rsidRPr="0097224B" w:rsidRDefault="00764A72" w:rsidP="00E875F3">
      <w:pPr>
        <w:jc w:val="left"/>
        <w:rPr>
          <w:strike/>
        </w:rPr>
      </w:pPr>
    </w:p>
    <w:sectPr w:rsidR="00764A72" w:rsidRPr="0097224B" w:rsidSect="00D726DA">
      <w:headerReference w:type="default" r:id="rId10"/>
      <w:pgSz w:w="16838" w:h="11906" w:orient="landscape"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A82A3" w14:textId="77777777" w:rsidR="007E756D" w:rsidRDefault="007E756D" w:rsidP="00FA68C9">
      <w:r>
        <w:separator/>
      </w:r>
    </w:p>
  </w:endnote>
  <w:endnote w:type="continuationSeparator" w:id="0">
    <w:p w14:paraId="662555DA" w14:textId="77777777" w:rsidR="007E756D" w:rsidRDefault="007E756D" w:rsidP="00FA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4D139" w14:textId="77777777" w:rsidR="007E756D" w:rsidRDefault="007E756D" w:rsidP="00FA68C9">
      <w:r>
        <w:separator/>
      </w:r>
    </w:p>
  </w:footnote>
  <w:footnote w:type="continuationSeparator" w:id="0">
    <w:p w14:paraId="190C2D01" w14:textId="77777777" w:rsidR="007E756D" w:rsidRDefault="007E756D" w:rsidP="00FA6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917274"/>
      <w:docPartObj>
        <w:docPartGallery w:val="Page Numbers (Top of Page)"/>
        <w:docPartUnique/>
      </w:docPartObj>
    </w:sdtPr>
    <w:sdtEndPr/>
    <w:sdtContent>
      <w:p w14:paraId="7B78B03A" w14:textId="6CC129CA" w:rsidR="00D726DA" w:rsidRDefault="00D726DA">
        <w:pPr>
          <w:pStyle w:val="af2"/>
          <w:jc w:val="center"/>
        </w:pPr>
        <w:r>
          <w:fldChar w:fldCharType="begin"/>
        </w:r>
        <w:r>
          <w:instrText>PAGE   \* MERGEFORMAT</w:instrText>
        </w:r>
        <w:r>
          <w:fldChar w:fldCharType="separate"/>
        </w:r>
        <w:r w:rsidR="002138C7">
          <w:rPr>
            <w:noProof/>
          </w:rPr>
          <w:t>17</w:t>
        </w:r>
        <w:r>
          <w:fldChar w:fldCharType="end"/>
        </w:r>
      </w:p>
      <w:p w14:paraId="600D8A1E" w14:textId="77777777" w:rsidR="00D726DA" w:rsidRDefault="007E756D">
        <w:pPr>
          <w:pStyle w:val="af2"/>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F1E"/>
    <w:multiLevelType w:val="multilevel"/>
    <w:tmpl w:val="2640C67C"/>
    <w:lvl w:ilvl="0">
      <w:start w:val="1"/>
      <w:numFmt w:val="decimal"/>
      <w:pStyle w:val="1Str0"/>
      <w:suff w:val="space"/>
      <w:lvlText w:val="%1."/>
      <w:lvlJc w:val="left"/>
      <w:pPr>
        <w:ind w:left="1" w:firstLine="709"/>
      </w:pPr>
      <w:rPr>
        <w:rFonts w:ascii="Times New Roman" w:hAnsi="Times New Roman" w:hint="default"/>
        <w:sz w:val="28"/>
      </w:rPr>
    </w:lvl>
    <w:lvl w:ilvl="1">
      <w:start w:val="1"/>
      <w:numFmt w:val="decimal"/>
      <w:pStyle w:val="1Str11"/>
      <w:suff w:val="space"/>
      <w:lvlText w:val="%2)"/>
      <w:lvlJc w:val="left"/>
      <w:pPr>
        <w:ind w:left="0" w:firstLine="709"/>
      </w:pPr>
      <w:rPr>
        <w:rFonts w:hint="default"/>
        <w:color w:val="auto"/>
      </w:rPr>
    </w:lvl>
    <w:lvl w:ilvl="2">
      <w:start w:val="1"/>
      <w:numFmt w:val="lowerRoman"/>
      <w:lvlText w:val="%3."/>
      <w:lvlJc w:val="right"/>
      <w:pPr>
        <w:ind w:left="0" w:firstLine="709"/>
      </w:pPr>
      <w:rPr>
        <w:rFonts w:hint="default"/>
      </w:rPr>
    </w:lvl>
    <w:lvl w:ilvl="3">
      <w:start w:val="1"/>
      <w:numFmt w:val="decimal"/>
      <w:lvlText w:val="%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1" w15:restartNumberingAfterBreak="0">
    <w:nsid w:val="16C25303"/>
    <w:multiLevelType w:val="hybridMultilevel"/>
    <w:tmpl w:val="C39CF374"/>
    <w:lvl w:ilvl="0" w:tplc="0422000F">
      <w:start w:val="1"/>
      <w:numFmt w:val="decimal"/>
      <w:lvlText w:val="%1."/>
      <w:lvlJc w:val="left"/>
      <w:pPr>
        <w:ind w:left="1033" w:hanging="360"/>
      </w:pPr>
    </w:lvl>
    <w:lvl w:ilvl="1" w:tplc="04220019" w:tentative="1">
      <w:start w:val="1"/>
      <w:numFmt w:val="lowerLetter"/>
      <w:lvlText w:val="%2."/>
      <w:lvlJc w:val="left"/>
      <w:pPr>
        <w:ind w:left="1753" w:hanging="360"/>
      </w:pPr>
    </w:lvl>
    <w:lvl w:ilvl="2" w:tplc="0422001B" w:tentative="1">
      <w:start w:val="1"/>
      <w:numFmt w:val="lowerRoman"/>
      <w:lvlText w:val="%3."/>
      <w:lvlJc w:val="right"/>
      <w:pPr>
        <w:ind w:left="2473" w:hanging="180"/>
      </w:pPr>
    </w:lvl>
    <w:lvl w:ilvl="3" w:tplc="0422000F" w:tentative="1">
      <w:start w:val="1"/>
      <w:numFmt w:val="decimal"/>
      <w:lvlText w:val="%4."/>
      <w:lvlJc w:val="left"/>
      <w:pPr>
        <w:ind w:left="3193" w:hanging="360"/>
      </w:pPr>
    </w:lvl>
    <w:lvl w:ilvl="4" w:tplc="04220019" w:tentative="1">
      <w:start w:val="1"/>
      <w:numFmt w:val="lowerLetter"/>
      <w:lvlText w:val="%5."/>
      <w:lvlJc w:val="left"/>
      <w:pPr>
        <w:ind w:left="3913" w:hanging="360"/>
      </w:pPr>
    </w:lvl>
    <w:lvl w:ilvl="5" w:tplc="0422001B" w:tentative="1">
      <w:start w:val="1"/>
      <w:numFmt w:val="lowerRoman"/>
      <w:lvlText w:val="%6."/>
      <w:lvlJc w:val="right"/>
      <w:pPr>
        <w:ind w:left="4633" w:hanging="180"/>
      </w:pPr>
    </w:lvl>
    <w:lvl w:ilvl="6" w:tplc="0422000F" w:tentative="1">
      <w:start w:val="1"/>
      <w:numFmt w:val="decimal"/>
      <w:lvlText w:val="%7."/>
      <w:lvlJc w:val="left"/>
      <w:pPr>
        <w:ind w:left="5353" w:hanging="360"/>
      </w:pPr>
    </w:lvl>
    <w:lvl w:ilvl="7" w:tplc="04220019" w:tentative="1">
      <w:start w:val="1"/>
      <w:numFmt w:val="lowerLetter"/>
      <w:lvlText w:val="%8."/>
      <w:lvlJc w:val="left"/>
      <w:pPr>
        <w:ind w:left="6073" w:hanging="360"/>
      </w:pPr>
    </w:lvl>
    <w:lvl w:ilvl="8" w:tplc="0422001B" w:tentative="1">
      <w:start w:val="1"/>
      <w:numFmt w:val="lowerRoman"/>
      <w:lvlText w:val="%9."/>
      <w:lvlJc w:val="right"/>
      <w:pPr>
        <w:ind w:left="6793" w:hanging="180"/>
      </w:pPr>
    </w:lvl>
  </w:abstractNum>
  <w:abstractNum w:abstractNumId="2" w15:restartNumberingAfterBreak="0">
    <w:nsid w:val="1AEB4E8F"/>
    <w:multiLevelType w:val="multilevel"/>
    <w:tmpl w:val="E206A3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3515E7"/>
    <w:multiLevelType w:val="hybridMultilevel"/>
    <w:tmpl w:val="E39696B4"/>
    <w:lvl w:ilvl="0" w:tplc="0422000F">
      <w:start w:val="1"/>
      <w:numFmt w:val="decimal"/>
      <w:lvlText w:val="%1."/>
      <w:lvlJc w:val="left"/>
      <w:pPr>
        <w:tabs>
          <w:tab w:val="num" w:pos="643"/>
        </w:tabs>
        <w:ind w:left="643" w:hanging="360"/>
      </w:pPr>
      <w:rPr>
        <w:rFonts w:hint="default"/>
      </w:rPr>
    </w:lvl>
    <w:lvl w:ilvl="1" w:tplc="CCD49750" w:tentative="1">
      <w:start w:val="1"/>
      <w:numFmt w:val="bullet"/>
      <w:lvlText w:val=""/>
      <w:lvlJc w:val="left"/>
      <w:pPr>
        <w:tabs>
          <w:tab w:val="num" w:pos="1505"/>
        </w:tabs>
        <w:ind w:left="1505" w:hanging="360"/>
      </w:pPr>
      <w:rPr>
        <w:rFonts w:ascii="Wingdings" w:hAnsi="Wingdings" w:hint="default"/>
      </w:rPr>
    </w:lvl>
    <w:lvl w:ilvl="2" w:tplc="61E4D73E" w:tentative="1">
      <w:start w:val="1"/>
      <w:numFmt w:val="bullet"/>
      <w:lvlText w:val=""/>
      <w:lvlJc w:val="left"/>
      <w:pPr>
        <w:tabs>
          <w:tab w:val="num" w:pos="2225"/>
        </w:tabs>
        <w:ind w:left="2225" w:hanging="360"/>
      </w:pPr>
      <w:rPr>
        <w:rFonts w:ascii="Wingdings" w:hAnsi="Wingdings" w:hint="default"/>
      </w:rPr>
    </w:lvl>
    <w:lvl w:ilvl="3" w:tplc="28267D56" w:tentative="1">
      <w:start w:val="1"/>
      <w:numFmt w:val="bullet"/>
      <w:lvlText w:val=""/>
      <w:lvlJc w:val="left"/>
      <w:pPr>
        <w:tabs>
          <w:tab w:val="num" w:pos="2945"/>
        </w:tabs>
        <w:ind w:left="2945" w:hanging="360"/>
      </w:pPr>
      <w:rPr>
        <w:rFonts w:ascii="Wingdings" w:hAnsi="Wingdings" w:hint="default"/>
      </w:rPr>
    </w:lvl>
    <w:lvl w:ilvl="4" w:tplc="AF1657DC" w:tentative="1">
      <w:start w:val="1"/>
      <w:numFmt w:val="bullet"/>
      <w:lvlText w:val=""/>
      <w:lvlJc w:val="left"/>
      <w:pPr>
        <w:tabs>
          <w:tab w:val="num" w:pos="3665"/>
        </w:tabs>
        <w:ind w:left="3665" w:hanging="360"/>
      </w:pPr>
      <w:rPr>
        <w:rFonts w:ascii="Wingdings" w:hAnsi="Wingdings" w:hint="default"/>
      </w:rPr>
    </w:lvl>
    <w:lvl w:ilvl="5" w:tplc="25E8783A" w:tentative="1">
      <w:start w:val="1"/>
      <w:numFmt w:val="bullet"/>
      <w:lvlText w:val=""/>
      <w:lvlJc w:val="left"/>
      <w:pPr>
        <w:tabs>
          <w:tab w:val="num" w:pos="4385"/>
        </w:tabs>
        <w:ind w:left="4385" w:hanging="360"/>
      </w:pPr>
      <w:rPr>
        <w:rFonts w:ascii="Wingdings" w:hAnsi="Wingdings" w:hint="default"/>
      </w:rPr>
    </w:lvl>
    <w:lvl w:ilvl="6" w:tplc="AC7A385C" w:tentative="1">
      <w:start w:val="1"/>
      <w:numFmt w:val="bullet"/>
      <w:lvlText w:val=""/>
      <w:lvlJc w:val="left"/>
      <w:pPr>
        <w:tabs>
          <w:tab w:val="num" w:pos="5105"/>
        </w:tabs>
        <w:ind w:left="5105" w:hanging="360"/>
      </w:pPr>
      <w:rPr>
        <w:rFonts w:ascii="Wingdings" w:hAnsi="Wingdings" w:hint="default"/>
      </w:rPr>
    </w:lvl>
    <w:lvl w:ilvl="7" w:tplc="8188E5CE" w:tentative="1">
      <w:start w:val="1"/>
      <w:numFmt w:val="bullet"/>
      <w:lvlText w:val=""/>
      <w:lvlJc w:val="left"/>
      <w:pPr>
        <w:tabs>
          <w:tab w:val="num" w:pos="5825"/>
        </w:tabs>
        <w:ind w:left="5825" w:hanging="360"/>
      </w:pPr>
      <w:rPr>
        <w:rFonts w:ascii="Wingdings" w:hAnsi="Wingdings" w:hint="default"/>
      </w:rPr>
    </w:lvl>
    <w:lvl w:ilvl="8" w:tplc="B9F43E66"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273E1CEB"/>
    <w:multiLevelType w:val="multilevel"/>
    <w:tmpl w:val="9BA0CC0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19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BA7628"/>
    <w:multiLevelType w:val="hybridMultilevel"/>
    <w:tmpl w:val="9F0C0730"/>
    <w:lvl w:ilvl="0" w:tplc="289C4CA4">
      <w:start w:val="1"/>
      <w:numFmt w:val="decimal"/>
      <w:lvlText w:val="%1"/>
      <w:lvlJc w:val="left"/>
      <w:pPr>
        <w:ind w:left="1070" w:hanging="360"/>
      </w:pPr>
      <w:rPr>
        <w:rFonts w:ascii="Times New Roman" w:hAnsi="Times New Roman" w:cs="Times New Roman" w:hint="default"/>
        <w:i w:val="0"/>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6272B48"/>
    <w:multiLevelType w:val="multilevel"/>
    <w:tmpl w:val="860E6D9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928" w:hanging="360"/>
      </w:pPr>
      <w:rPr>
        <w:b w:val="0"/>
        <w:i w:val="0"/>
        <w:sz w:val="2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936D26"/>
    <w:multiLevelType w:val="hybridMultilevel"/>
    <w:tmpl w:val="3A808FAE"/>
    <w:lvl w:ilvl="0" w:tplc="1AC20300">
      <w:start w:val="1"/>
      <w:numFmt w:val="decimal"/>
      <w:lvlText w:val="%1."/>
      <w:lvlJc w:val="left"/>
      <w:pPr>
        <w:ind w:left="1353"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6C27A4C"/>
    <w:multiLevelType w:val="hybridMultilevel"/>
    <w:tmpl w:val="5694E5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7C1546"/>
    <w:multiLevelType w:val="hybridMultilevel"/>
    <w:tmpl w:val="781C29FE"/>
    <w:lvl w:ilvl="0" w:tplc="7270BD5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A3F4B5D"/>
    <w:multiLevelType w:val="multilevel"/>
    <w:tmpl w:val="9BA0CC0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5A54C3"/>
    <w:multiLevelType w:val="hybridMultilevel"/>
    <w:tmpl w:val="0C16073E"/>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2614E21"/>
    <w:multiLevelType w:val="hybridMultilevel"/>
    <w:tmpl w:val="0C7078BC"/>
    <w:lvl w:ilvl="0" w:tplc="0EF079C2">
      <w:start w:val="1"/>
      <w:numFmt w:val="decimal"/>
      <w:lvlText w:val="%1."/>
      <w:lvlJc w:val="left"/>
      <w:pPr>
        <w:ind w:left="1353"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28A643B"/>
    <w:multiLevelType w:val="hybridMultilevel"/>
    <w:tmpl w:val="0862EDA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433E76A0"/>
    <w:multiLevelType w:val="hybridMultilevel"/>
    <w:tmpl w:val="33E2C9B6"/>
    <w:lvl w:ilvl="0" w:tplc="933AC6FC">
      <w:start w:val="1"/>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7B1212B"/>
    <w:multiLevelType w:val="hybridMultilevel"/>
    <w:tmpl w:val="B6E4E7D4"/>
    <w:lvl w:ilvl="0" w:tplc="1182F168">
      <w:start w:val="10"/>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5A6520E8"/>
    <w:multiLevelType w:val="hybridMultilevel"/>
    <w:tmpl w:val="C35A0CF0"/>
    <w:lvl w:ilvl="0" w:tplc="B16AE55E">
      <w:start w:val="10"/>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E786FAB"/>
    <w:multiLevelType w:val="hybridMultilevel"/>
    <w:tmpl w:val="01BA9134"/>
    <w:lvl w:ilvl="0" w:tplc="DEF63344">
      <w:start w:val="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606253FC"/>
    <w:multiLevelType w:val="hybridMultilevel"/>
    <w:tmpl w:val="5092476C"/>
    <w:lvl w:ilvl="0" w:tplc="0422000F">
      <w:start w:val="1"/>
      <w:numFmt w:val="decimal"/>
      <w:lvlText w:val="%1."/>
      <w:lvlJc w:val="left"/>
      <w:pPr>
        <w:tabs>
          <w:tab w:val="num" w:pos="720"/>
        </w:tabs>
        <w:ind w:left="720" w:hanging="360"/>
      </w:pPr>
      <w:rPr>
        <w:rFonts w:hint="default"/>
      </w:rPr>
    </w:lvl>
    <w:lvl w:ilvl="1" w:tplc="CCD49750" w:tentative="1">
      <w:start w:val="1"/>
      <w:numFmt w:val="bullet"/>
      <w:lvlText w:val=""/>
      <w:lvlJc w:val="left"/>
      <w:pPr>
        <w:tabs>
          <w:tab w:val="num" w:pos="1440"/>
        </w:tabs>
        <w:ind w:left="1440" w:hanging="360"/>
      </w:pPr>
      <w:rPr>
        <w:rFonts w:ascii="Wingdings" w:hAnsi="Wingdings" w:hint="default"/>
      </w:rPr>
    </w:lvl>
    <w:lvl w:ilvl="2" w:tplc="61E4D73E" w:tentative="1">
      <w:start w:val="1"/>
      <w:numFmt w:val="bullet"/>
      <w:lvlText w:val=""/>
      <w:lvlJc w:val="left"/>
      <w:pPr>
        <w:tabs>
          <w:tab w:val="num" w:pos="2160"/>
        </w:tabs>
        <w:ind w:left="2160" w:hanging="360"/>
      </w:pPr>
      <w:rPr>
        <w:rFonts w:ascii="Wingdings" w:hAnsi="Wingdings" w:hint="default"/>
      </w:rPr>
    </w:lvl>
    <w:lvl w:ilvl="3" w:tplc="28267D56" w:tentative="1">
      <w:start w:val="1"/>
      <w:numFmt w:val="bullet"/>
      <w:lvlText w:val=""/>
      <w:lvlJc w:val="left"/>
      <w:pPr>
        <w:tabs>
          <w:tab w:val="num" w:pos="2880"/>
        </w:tabs>
        <w:ind w:left="2880" w:hanging="360"/>
      </w:pPr>
      <w:rPr>
        <w:rFonts w:ascii="Wingdings" w:hAnsi="Wingdings" w:hint="default"/>
      </w:rPr>
    </w:lvl>
    <w:lvl w:ilvl="4" w:tplc="AF1657DC" w:tentative="1">
      <w:start w:val="1"/>
      <w:numFmt w:val="bullet"/>
      <w:lvlText w:val=""/>
      <w:lvlJc w:val="left"/>
      <w:pPr>
        <w:tabs>
          <w:tab w:val="num" w:pos="3600"/>
        </w:tabs>
        <w:ind w:left="3600" w:hanging="360"/>
      </w:pPr>
      <w:rPr>
        <w:rFonts w:ascii="Wingdings" w:hAnsi="Wingdings" w:hint="default"/>
      </w:rPr>
    </w:lvl>
    <w:lvl w:ilvl="5" w:tplc="25E8783A" w:tentative="1">
      <w:start w:val="1"/>
      <w:numFmt w:val="bullet"/>
      <w:lvlText w:val=""/>
      <w:lvlJc w:val="left"/>
      <w:pPr>
        <w:tabs>
          <w:tab w:val="num" w:pos="4320"/>
        </w:tabs>
        <w:ind w:left="4320" w:hanging="360"/>
      </w:pPr>
      <w:rPr>
        <w:rFonts w:ascii="Wingdings" w:hAnsi="Wingdings" w:hint="default"/>
      </w:rPr>
    </w:lvl>
    <w:lvl w:ilvl="6" w:tplc="AC7A385C" w:tentative="1">
      <w:start w:val="1"/>
      <w:numFmt w:val="bullet"/>
      <w:lvlText w:val=""/>
      <w:lvlJc w:val="left"/>
      <w:pPr>
        <w:tabs>
          <w:tab w:val="num" w:pos="5040"/>
        </w:tabs>
        <w:ind w:left="5040" w:hanging="360"/>
      </w:pPr>
      <w:rPr>
        <w:rFonts w:ascii="Wingdings" w:hAnsi="Wingdings" w:hint="default"/>
      </w:rPr>
    </w:lvl>
    <w:lvl w:ilvl="7" w:tplc="8188E5CE" w:tentative="1">
      <w:start w:val="1"/>
      <w:numFmt w:val="bullet"/>
      <w:lvlText w:val=""/>
      <w:lvlJc w:val="left"/>
      <w:pPr>
        <w:tabs>
          <w:tab w:val="num" w:pos="5760"/>
        </w:tabs>
        <w:ind w:left="5760" w:hanging="360"/>
      </w:pPr>
      <w:rPr>
        <w:rFonts w:ascii="Wingdings" w:hAnsi="Wingdings" w:hint="default"/>
      </w:rPr>
    </w:lvl>
    <w:lvl w:ilvl="8" w:tplc="B9F43E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2D6261"/>
    <w:multiLevelType w:val="multilevel"/>
    <w:tmpl w:val="9BA0CC0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6631194"/>
    <w:multiLevelType w:val="hybridMultilevel"/>
    <w:tmpl w:val="6C766FA2"/>
    <w:lvl w:ilvl="0" w:tplc="7314679C">
      <w:start w:val="1"/>
      <w:numFmt w:val="decimal"/>
      <w:lvlText w:val="%1."/>
      <w:lvlJc w:val="left"/>
      <w:pPr>
        <w:ind w:left="644" w:hanging="360"/>
      </w:pPr>
      <w:rPr>
        <w:rFonts w:cs="Times New Roman" w:hint="default"/>
        <w:i w:val="0"/>
        <w:strike w:val="0"/>
        <w:color w:val="auto"/>
        <w:sz w:val="28"/>
        <w:szCs w:val="28"/>
      </w:rPr>
    </w:lvl>
    <w:lvl w:ilvl="1" w:tplc="04220019" w:tentative="1">
      <w:start w:val="1"/>
      <w:numFmt w:val="lowerLetter"/>
      <w:lvlText w:val="%2."/>
      <w:lvlJc w:val="left"/>
      <w:pPr>
        <w:ind w:left="11003" w:hanging="360"/>
      </w:pPr>
    </w:lvl>
    <w:lvl w:ilvl="2" w:tplc="0422001B">
      <w:start w:val="1"/>
      <w:numFmt w:val="lowerRoman"/>
      <w:lvlText w:val="%3."/>
      <w:lvlJc w:val="right"/>
      <w:pPr>
        <w:ind w:left="11723" w:hanging="180"/>
      </w:pPr>
    </w:lvl>
    <w:lvl w:ilvl="3" w:tplc="0422000F" w:tentative="1">
      <w:start w:val="1"/>
      <w:numFmt w:val="decimal"/>
      <w:lvlText w:val="%4."/>
      <w:lvlJc w:val="left"/>
      <w:pPr>
        <w:ind w:left="12443" w:hanging="360"/>
      </w:pPr>
    </w:lvl>
    <w:lvl w:ilvl="4" w:tplc="04220019" w:tentative="1">
      <w:start w:val="1"/>
      <w:numFmt w:val="lowerLetter"/>
      <w:lvlText w:val="%5."/>
      <w:lvlJc w:val="left"/>
      <w:pPr>
        <w:ind w:left="13163" w:hanging="360"/>
      </w:pPr>
    </w:lvl>
    <w:lvl w:ilvl="5" w:tplc="0422001B" w:tentative="1">
      <w:start w:val="1"/>
      <w:numFmt w:val="lowerRoman"/>
      <w:lvlText w:val="%6."/>
      <w:lvlJc w:val="right"/>
      <w:pPr>
        <w:ind w:left="13883" w:hanging="180"/>
      </w:pPr>
    </w:lvl>
    <w:lvl w:ilvl="6" w:tplc="0422000F" w:tentative="1">
      <w:start w:val="1"/>
      <w:numFmt w:val="decimal"/>
      <w:lvlText w:val="%7."/>
      <w:lvlJc w:val="left"/>
      <w:pPr>
        <w:ind w:left="14603" w:hanging="360"/>
      </w:pPr>
    </w:lvl>
    <w:lvl w:ilvl="7" w:tplc="04220019" w:tentative="1">
      <w:start w:val="1"/>
      <w:numFmt w:val="lowerLetter"/>
      <w:lvlText w:val="%8."/>
      <w:lvlJc w:val="left"/>
      <w:pPr>
        <w:ind w:left="15323" w:hanging="360"/>
      </w:pPr>
    </w:lvl>
    <w:lvl w:ilvl="8" w:tplc="0422001B" w:tentative="1">
      <w:start w:val="1"/>
      <w:numFmt w:val="lowerRoman"/>
      <w:lvlText w:val="%9."/>
      <w:lvlJc w:val="right"/>
      <w:pPr>
        <w:ind w:left="16043" w:hanging="180"/>
      </w:pPr>
    </w:lvl>
  </w:abstractNum>
  <w:abstractNum w:abstractNumId="21" w15:restartNumberingAfterBreak="0">
    <w:nsid w:val="79481C0C"/>
    <w:multiLevelType w:val="hybridMultilevel"/>
    <w:tmpl w:val="E87EDF96"/>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9AB54DF"/>
    <w:multiLevelType w:val="hybridMultilevel"/>
    <w:tmpl w:val="A41A0CD2"/>
    <w:lvl w:ilvl="0" w:tplc="0ADAD2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18"/>
  </w:num>
  <w:num w:numId="5">
    <w:abstractNumId w:val="3"/>
  </w:num>
  <w:num w:numId="6">
    <w:abstractNumId w:val="8"/>
  </w:num>
  <w:num w:numId="7">
    <w:abstractNumId w:val="11"/>
  </w:num>
  <w:num w:numId="8">
    <w:abstractNumId w:val="22"/>
  </w:num>
  <w:num w:numId="9">
    <w:abstractNumId w:val="17"/>
  </w:num>
  <w:num w:numId="10">
    <w:abstractNumId w:val="9"/>
  </w:num>
  <w:num w:numId="11">
    <w:abstractNumId w:val="14"/>
  </w:num>
  <w:num w:numId="12">
    <w:abstractNumId w:val="12"/>
  </w:num>
  <w:num w:numId="13">
    <w:abstractNumId w:val="19"/>
  </w:num>
  <w:num w:numId="14">
    <w:abstractNumId w:val="7"/>
  </w:num>
  <w:num w:numId="15">
    <w:abstractNumId w:val="2"/>
  </w:num>
  <w:num w:numId="16">
    <w:abstractNumId w:val="13"/>
  </w:num>
  <w:num w:numId="17">
    <w:abstractNumId w:val="20"/>
  </w:num>
  <w:num w:numId="18">
    <w:abstractNumId w:val="0"/>
  </w:num>
  <w:num w:numId="19">
    <w:abstractNumId w:val="15"/>
  </w:num>
  <w:num w:numId="20">
    <w:abstractNumId w:val="16"/>
  </w:num>
  <w:num w:numId="21">
    <w:abstractNumId w:val="6"/>
  </w:num>
  <w:num w:numId="22">
    <w:abstractNumId w:val="21"/>
  </w:num>
  <w:num w:numId="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96"/>
    <w:rsid w:val="00000BC1"/>
    <w:rsid w:val="00001B0C"/>
    <w:rsid w:val="00001FA8"/>
    <w:rsid w:val="0000212B"/>
    <w:rsid w:val="00003373"/>
    <w:rsid w:val="00011770"/>
    <w:rsid w:val="000125BB"/>
    <w:rsid w:val="00013931"/>
    <w:rsid w:val="00017B8F"/>
    <w:rsid w:val="000247E5"/>
    <w:rsid w:val="00027C28"/>
    <w:rsid w:val="000309BC"/>
    <w:rsid w:val="00030D62"/>
    <w:rsid w:val="00036A36"/>
    <w:rsid w:val="000420DA"/>
    <w:rsid w:val="000501B7"/>
    <w:rsid w:val="0005161A"/>
    <w:rsid w:val="0005524B"/>
    <w:rsid w:val="000562F6"/>
    <w:rsid w:val="0006200D"/>
    <w:rsid w:val="000622CF"/>
    <w:rsid w:val="00066574"/>
    <w:rsid w:val="00073952"/>
    <w:rsid w:val="0007624D"/>
    <w:rsid w:val="00077660"/>
    <w:rsid w:val="000816C0"/>
    <w:rsid w:val="00083250"/>
    <w:rsid w:val="000836E3"/>
    <w:rsid w:val="00085CD2"/>
    <w:rsid w:val="00090C3F"/>
    <w:rsid w:val="0009730B"/>
    <w:rsid w:val="000A0848"/>
    <w:rsid w:val="000A3E26"/>
    <w:rsid w:val="000A415E"/>
    <w:rsid w:val="000A7C7C"/>
    <w:rsid w:val="000B3123"/>
    <w:rsid w:val="000B3C23"/>
    <w:rsid w:val="000B4BB4"/>
    <w:rsid w:val="000B5E7C"/>
    <w:rsid w:val="000B764D"/>
    <w:rsid w:val="000C1736"/>
    <w:rsid w:val="000C217E"/>
    <w:rsid w:val="000C3833"/>
    <w:rsid w:val="000C5636"/>
    <w:rsid w:val="000C5848"/>
    <w:rsid w:val="000D0534"/>
    <w:rsid w:val="000D2AA8"/>
    <w:rsid w:val="000D433B"/>
    <w:rsid w:val="000D7511"/>
    <w:rsid w:val="000E053F"/>
    <w:rsid w:val="000E1CF3"/>
    <w:rsid w:val="000E21DF"/>
    <w:rsid w:val="000F38BD"/>
    <w:rsid w:val="001002CC"/>
    <w:rsid w:val="0010123C"/>
    <w:rsid w:val="00101A63"/>
    <w:rsid w:val="00101DE6"/>
    <w:rsid w:val="00102777"/>
    <w:rsid w:val="00103288"/>
    <w:rsid w:val="001037B7"/>
    <w:rsid w:val="001064DB"/>
    <w:rsid w:val="00110670"/>
    <w:rsid w:val="00111942"/>
    <w:rsid w:val="001179D1"/>
    <w:rsid w:val="0012047B"/>
    <w:rsid w:val="00124B86"/>
    <w:rsid w:val="00125A9A"/>
    <w:rsid w:val="00126C82"/>
    <w:rsid w:val="0013070B"/>
    <w:rsid w:val="0013103D"/>
    <w:rsid w:val="00132EC2"/>
    <w:rsid w:val="00134F76"/>
    <w:rsid w:val="001412A2"/>
    <w:rsid w:val="00147886"/>
    <w:rsid w:val="00147F01"/>
    <w:rsid w:val="001501E7"/>
    <w:rsid w:val="00155138"/>
    <w:rsid w:val="00166648"/>
    <w:rsid w:val="00177107"/>
    <w:rsid w:val="001842B3"/>
    <w:rsid w:val="00185076"/>
    <w:rsid w:val="00185F0A"/>
    <w:rsid w:val="00185FAE"/>
    <w:rsid w:val="00191DC9"/>
    <w:rsid w:val="00196BAB"/>
    <w:rsid w:val="001B01AC"/>
    <w:rsid w:val="001B0B21"/>
    <w:rsid w:val="001B193A"/>
    <w:rsid w:val="001B6BD8"/>
    <w:rsid w:val="001C0FA9"/>
    <w:rsid w:val="001C4364"/>
    <w:rsid w:val="001C4A23"/>
    <w:rsid w:val="001C52D4"/>
    <w:rsid w:val="001D0568"/>
    <w:rsid w:val="001D06E5"/>
    <w:rsid w:val="001D1FC6"/>
    <w:rsid w:val="001D572C"/>
    <w:rsid w:val="001D78CD"/>
    <w:rsid w:val="001E2E30"/>
    <w:rsid w:val="001E3797"/>
    <w:rsid w:val="001E6E0E"/>
    <w:rsid w:val="001E774D"/>
    <w:rsid w:val="001F07D6"/>
    <w:rsid w:val="001F6E64"/>
    <w:rsid w:val="001F7551"/>
    <w:rsid w:val="002037CE"/>
    <w:rsid w:val="002046E3"/>
    <w:rsid w:val="00204FA1"/>
    <w:rsid w:val="00210533"/>
    <w:rsid w:val="002138C7"/>
    <w:rsid w:val="00221719"/>
    <w:rsid w:val="002250A5"/>
    <w:rsid w:val="00225674"/>
    <w:rsid w:val="00235A10"/>
    <w:rsid w:val="0023711F"/>
    <w:rsid w:val="00237B70"/>
    <w:rsid w:val="00241BA0"/>
    <w:rsid w:val="00243283"/>
    <w:rsid w:val="00246303"/>
    <w:rsid w:val="00250DC8"/>
    <w:rsid w:val="00254C38"/>
    <w:rsid w:val="0025772D"/>
    <w:rsid w:val="00260769"/>
    <w:rsid w:val="00274879"/>
    <w:rsid w:val="00276D1E"/>
    <w:rsid w:val="002802C5"/>
    <w:rsid w:val="0028167F"/>
    <w:rsid w:val="0028768A"/>
    <w:rsid w:val="00291FFD"/>
    <w:rsid w:val="002953DC"/>
    <w:rsid w:val="002956BA"/>
    <w:rsid w:val="00296CCA"/>
    <w:rsid w:val="002A080C"/>
    <w:rsid w:val="002A2FB2"/>
    <w:rsid w:val="002A5494"/>
    <w:rsid w:val="002A5AC6"/>
    <w:rsid w:val="002B4800"/>
    <w:rsid w:val="002C373B"/>
    <w:rsid w:val="002C7EAD"/>
    <w:rsid w:val="002D1E67"/>
    <w:rsid w:val="002D244E"/>
    <w:rsid w:val="002D2667"/>
    <w:rsid w:val="002D4CF6"/>
    <w:rsid w:val="002D55B3"/>
    <w:rsid w:val="002E38B9"/>
    <w:rsid w:val="002E3C82"/>
    <w:rsid w:val="002E410B"/>
    <w:rsid w:val="002E4914"/>
    <w:rsid w:val="002E574D"/>
    <w:rsid w:val="002E666E"/>
    <w:rsid w:val="002E7CFE"/>
    <w:rsid w:val="002F01A9"/>
    <w:rsid w:val="002F207B"/>
    <w:rsid w:val="002F3F39"/>
    <w:rsid w:val="002F4B07"/>
    <w:rsid w:val="002F4F2B"/>
    <w:rsid w:val="002F52CF"/>
    <w:rsid w:val="00302445"/>
    <w:rsid w:val="00302E11"/>
    <w:rsid w:val="003058FF"/>
    <w:rsid w:val="00306E86"/>
    <w:rsid w:val="0031410E"/>
    <w:rsid w:val="003143B5"/>
    <w:rsid w:val="00315BE9"/>
    <w:rsid w:val="0031717B"/>
    <w:rsid w:val="003202B8"/>
    <w:rsid w:val="00324307"/>
    <w:rsid w:val="003252FD"/>
    <w:rsid w:val="00325892"/>
    <w:rsid w:val="003301BB"/>
    <w:rsid w:val="00332457"/>
    <w:rsid w:val="003327C5"/>
    <w:rsid w:val="00334F6F"/>
    <w:rsid w:val="00342BFC"/>
    <w:rsid w:val="00342C4B"/>
    <w:rsid w:val="003458B6"/>
    <w:rsid w:val="00346643"/>
    <w:rsid w:val="003550B0"/>
    <w:rsid w:val="00355112"/>
    <w:rsid w:val="0035735B"/>
    <w:rsid w:val="003615FC"/>
    <w:rsid w:val="00362B56"/>
    <w:rsid w:val="003640F8"/>
    <w:rsid w:val="003714FF"/>
    <w:rsid w:val="0037495B"/>
    <w:rsid w:val="00374B73"/>
    <w:rsid w:val="00380A62"/>
    <w:rsid w:val="00383296"/>
    <w:rsid w:val="00383902"/>
    <w:rsid w:val="00384100"/>
    <w:rsid w:val="00384929"/>
    <w:rsid w:val="00384FE5"/>
    <w:rsid w:val="0039405C"/>
    <w:rsid w:val="00394FD1"/>
    <w:rsid w:val="00397C92"/>
    <w:rsid w:val="003A319B"/>
    <w:rsid w:val="003A339B"/>
    <w:rsid w:val="003B3E85"/>
    <w:rsid w:val="003B4691"/>
    <w:rsid w:val="003B4DA1"/>
    <w:rsid w:val="003B6AA6"/>
    <w:rsid w:val="003C0D9F"/>
    <w:rsid w:val="003C3FFE"/>
    <w:rsid w:val="003C5976"/>
    <w:rsid w:val="003C6FC4"/>
    <w:rsid w:val="003D4B27"/>
    <w:rsid w:val="003D4E4C"/>
    <w:rsid w:val="003D7508"/>
    <w:rsid w:val="003E00AF"/>
    <w:rsid w:val="003E03C3"/>
    <w:rsid w:val="003E12F6"/>
    <w:rsid w:val="003E167C"/>
    <w:rsid w:val="003E28D6"/>
    <w:rsid w:val="003E61B1"/>
    <w:rsid w:val="003F1055"/>
    <w:rsid w:val="003F5DAE"/>
    <w:rsid w:val="003F68BB"/>
    <w:rsid w:val="00401BB1"/>
    <w:rsid w:val="004035EE"/>
    <w:rsid w:val="00406B3D"/>
    <w:rsid w:val="0041097C"/>
    <w:rsid w:val="004126EC"/>
    <w:rsid w:val="00413A1E"/>
    <w:rsid w:val="00414B48"/>
    <w:rsid w:val="00417178"/>
    <w:rsid w:val="00421C57"/>
    <w:rsid w:val="00422F73"/>
    <w:rsid w:val="00425753"/>
    <w:rsid w:val="00425B1A"/>
    <w:rsid w:val="00425CA7"/>
    <w:rsid w:val="00427BAF"/>
    <w:rsid w:val="00432F56"/>
    <w:rsid w:val="0043368F"/>
    <w:rsid w:val="004340E2"/>
    <w:rsid w:val="00434377"/>
    <w:rsid w:val="00435DD3"/>
    <w:rsid w:val="00440182"/>
    <w:rsid w:val="004415C6"/>
    <w:rsid w:val="00441A8C"/>
    <w:rsid w:val="00444D77"/>
    <w:rsid w:val="0044661E"/>
    <w:rsid w:val="0045095F"/>
    <w:rsid w:val="0045390A"/>
    <w:rsid w:val="00462CF9"/>
    <w:rsid w:val="00466570"/>
    <w:rsid w:val="00466FD7"/>
    <w:rsid w:val="00467565"/>
    <w:rsid w:val="00470420"/>
    <w:rsid w:val="00472FD6"/>
    <w:rsid w:val="0047366B"/>
    <w:rsid w:val="00477802"/>
    <w:rsid w:val="00480843"/>
    <w:rsid w:val="004821D4"/>
    <w:rsid w:val="004856E1"/>
    <w:rsid w:val="00485E24"/>
    <w:rsid w:val="00486C4F"/>
    <w:rsid w:val="004930EA"/>
    <w:rsid w:val="004955C0"/>
    <w:rsid w:val="004A1D02"/>
    <w:rsid w:val="004A4066"/>
    <w:rsid w:val="004A42CF"/>
    <w:rsid w:val="004B13C1"/>
    <w:rsid w:val="004B66B6"/>
    <w:rsid w:val="004B7B4C"/>
    <w:rsid w:val="004C1308"/>
    <w:rsid w:val="004D5BDA"/>
    <w:rsid w:val="004D7A4D"/>
    <w:rsid w:val="004D7C84"/>
    <w:rsid w:val="004F055F"/>
    <w:rsid w:val="004F1CE8"/>
    <w:rsid w:val="004F3D5E"/>
    <w:rsid w:val="004F756A"/>
    <w:rsid w:val="00500130"/>
    <w:rsid w:val="00500301"/>
    <w:rsid w:val="00500813"/>
    <w:rsid w:val="00503D6A"/>
    <w:rsid w:val="00510B11"/>
    <w:rsid w:val="005119DF"/>
    <w:rsid w:val="005140DE"/>
    <w:rsid w:val="00516F25"/>
    <w:rsid w:val="00516FA9"/>
    <w:rsid w:val="00520C12"/>
    <w:rsid w:val="00521CFF"/>
    <w:rsid w:val="00524468"/>
    <w:rsid w:val="00526CDE"/>
    <w:rsid w:val="00532D2E"/>
    <w:rsid w:val="005331A3"/>
    <w:rsid w:val="005336EA"/>
    <w:rsid w:val="00541C68"/>
    <w:rsid w:val="00542019"/>
    <w:rsid w:val="0054287D"/>
    <w:rsid w:val="005449D4"/>
    <w:rsid w:val="00544AF0"/>
    <w:rsid w:val="00552322"/>
    <w:rsid w:val="00552AC1"/>
    <w:rsid w:val="00554EA6"/>
    <w:rsid w:val="00555791"/>
    <w:rsid w:val="00555B65"/>
    <w:rsid w:val="00557987"/>
    <w:rsid w:val="00561844"/>
    <w:rsid w:val="005621A9"/>
    <w:rsid w:val="00563472"/>
    <w:rsid w:val="005657DA"/>
    <w:rsid w:val="00565DE5"/>
    <w:rsid w:val="00566D69"/>
    <w:rsid w:val="005736FC"/>
    <w:rsid w:val="00575EF5"/>
    <w:rsid w:val="00576B41"/>
    <w:rsid w:val="00576BE9"/>
    <w:rsid w:val="0058145F"/>
    <w:rsid w:val="00583FBC"/>
    <w:rsid w:val="00584CB0"/>
    <w:rsid w:val="0059200F"/>
    <w:rsid w:val="0059264C"/>
    <w:rsid w:val="005928E8"/>
    <w:rsid w:val="0059529C"/>
    <w:rsid w:val="00595F25"/>
    <w:rsid w:val="005A1033"/>
    <w:rsid w:val="005A4435"/>
    <w:rsid w:val="005A46D7"/>
    <w:rsid w:val="005A4759"/>
    <w:rsid w:val="005A4836"/>
    <w:rsid w:val="005A53F8"/>
    <w:rsid w:val="005A73E4"/>
    <w:rsid w:val="005A7D6D"/>
    <w:rsid w:val="005A7EA2"/>
    <w:rsid w:val="005B0FE8"/>
    <w:rsid w:val="005B654C"/>
    <w:rsid w:val="005B6895"/>
    <w:rsid w:val="005C0686"/>
    <w:rsid w:val="005C0910"/>
    <w:rsid w:val="005C18BC"/>
    <w:rsid w:val="005C228D"/>
    <w:rsid w:val="005C297B"/>
    <w:rsid w:val="005C427B"/>
    <w:rsid w:val="005C4C75"/>
    <w:rsid w:val="005C6D59"/>
    <w:rsid w:val="005C6EA4"/>
    <w:rsid w:val="005D66A0"/>
    <w:rsid w:val="005D6CE5"/>
    <w:rsid w:val="005D7488"/>
    <w:rsid w:val="005E0B09"/>
    <w:rsid w:val="005E2F00"/>
    <w:rsid w:val="005E62FF"/>
    <w:rsid w:val="005F4492"/>
    <w:rsid w:val="00602940"/>
    <w:rsid w:val="00611EDE"/>
    <w:rsid w:val="006142C9"/>
    <w:rsid w:val="006156D2"/>
    <w:rsid w:val="00620255"/>
    <w:rsid w:val="00621816"/>
    <w:rsid w:val="00621B1D"/>
    <w:rsid w:val="00627B61"/>
    <w:rsid w:val="006319BF"/>
    <w:rsid w:val="00631AE0"/>
    <w:rsid w:val="006322EF"/>
    <w:rsid w:val="00632726"/>
    <w:rsid w:val="00636F4C"/>
    <w:rsid w:val="006374E7"/>
    <w:rsid w:val="006416BE"/>
    <w:rsid w:val="0064538A"/>
    <w:rsid w:val="006453DC"/>
    <w:rsid w:val="00646C19"/>
    <w:rsid w:val="00650755"/>
    <w:rsid w:val="006518A3"/>
    <w:rsid w:val="00652196"/>
    <w:rsid w:val="00656FA6"/>
    <w:rsid w:val="00657225"/>
    <w:rsid w:val="006572AB"/>
    <w:rsid w:val="006606A9"/>
    <w:rsid w:val="00662B91"/>
    <w:rsid w:val="00663802"/>
    <w:rsid w:val="00663925"/>
    <w:rsid w:val="0067077B"/>
    <w:rsid w:val="00672355"/>
    <w:rsid w:val="00673BE0"/>
    <w:rsid w:val="00674D9D"/>
    <w:rsid w:val="0067597F"/>
    <w:rsid w:val="00676E42"/>
    <w:rsid w:val="00677E00"/>
    <w:rsid w:val="006829CC"/>
    <w:rsid w:val="00687381"/>
    <w:rsid w:val="00690B2B"/>
    <w:rsid w:val="0069220C"/>
    <w:rsid w:val="0069516D"/>
    <w:rsid w:val="00695645"/>
    <w:rsid w:val="00696524"/>
    <w:rsid w:val="006A1648"/>
    <w:rsid w:val="006A1CDA"/>
    <w:rsid w:val="006A2AE7"/>
    <w:rsid w:val="006A35E9"/>
    <w:rsid w:val="006A63D8"/>
    <w:rsid w:val="006B20A9"/>
    <w:rsid w:val="006B30FA"/>
    <w:rsid w:val="006B4B0C"/>
    <w:rsid w:val="006B4CBF"/>
    <w:rsid w:val="006C478D"/>
    <w:rsid w:val="006C52EA"/>
    <w:rsid w:val="006D26FE"/>
    <w:rsid w:val="006D28BA"/>
    <w:rsid w:val="006D45CD"/>
    <w:rsid w:val="006D797B"/>
    <w:rsid w:val="006E11B3"/>
    <w:rsid w:val="006E30A6"/>
    <w:rsid w:val="006F0E35"/>
    <w:rsid w:val="006F4528"/>
    <w:rsid w:val="006F57B3"/>
    <w:rsid w:val="00705C4E"/>
    <w:rsid w:val="00712511"/>
    <w:rsid w:val="00713DB6"/>
    <w:rsid w:val="0071539B"/>
    <w:rsid w:val="0071564B"/>
    <w:rsid w:val="00720989"/>
    <w:rsid w:val="00724014"/>
    <w:rsid w:val="00724BBC"/>
    <w:rsid w:val="00727E1A"/>
    <w:rsid w:val="00735EE7"/>
    <w:rsid w:val="00740592"/>
    <w:rsid w:val="00741EF7"/>
    <w:rsid w:val="007423B5"/>
    <w:rsid w:val="007423C8"/>
    <w:rsid w:val="00743DCB"/>
    <w:rsid w:val="007506B0"/>
    <w:rsid w:val="00753518"/>
    <w:rsid w:val="00755866"/>
    <w:rsid w:val="0076061F"/>
    <w:rsid w:val="00764A72"/>
    <w:rsid w:val="00771E08"/>
    <w:rsid w:val="00774FF9"/>
    <w:rsid w:val="00777F23"/>
    <w:rsid w:val="00781F22"/>
    <w:rsid w:val="0078329F"/>
    <w:rsid w:val="00790EEC"/>
    <w:rsid w:val="00794B42"/>
    <w:rsid w:val="00795A5C"/>
    <w:rsid w:val="007A1F2C"/>
    <w:rsid w:val="007A4E8A"/>
    <w:rsid w:val="007B33F2"/>
    <w:rsid w:val="007B5FC2"/>
    <w:rsid w:val="007C3946"/>
    <w:rsid w:val="007C4720"/>
    <w:rsid w:val="007C7198"/>
    <w:rsid w:val="007C7BEF"/>
    <w:rsid w:val="007D77E4"/>
    <w:rsid w:val="007E0AF5"/>
    <w:rsid w:val="007E2778"/>
    <w:rsid w:val="007E4674"/>
    <w:rsid w:val="007E642C"/>
    <w:rsid w:val="007E67DE"/>
    <w:rsid w:val="007E756D"/>
    <w:rsid w:val="007F06AD"/>
    <w:rsid w:val="007F17BC"/>
    <w:rsid w:val="007F1998"/>
    <w:rsid w:val="007F3F9D"/>
    <w:rsid w:val="00802193"/>
    <w:rsid w:val="008024D6"/>
    <w:rsid w:val="0080632B"/>
    <w:rsid w:val="00807A71"/>
    <w:rsid w:val="00812544"/>
    <w:rsid w:val="00813EE9"/>
    <w:rsid w:val="00814DFC"/>
    <w:rsid w:val="008255F4"/>
    <w:rsid w:val="00827B94"/>
    <w:rsid w:val="00832E08"/>
    <w:rsid w:val="00833831"/>
    <w:rsid w:val="00837135"/>
    <w:rsid w:val="008403E8"/>
    <w:rsid w:val="00841B92"/>
    <w:rsid w:val="00844B7F"/>
    <w:rsid w:val="00845D03"/>
    <w:rsid w:val="00850A1C"/>
    <w:rsid w:val="008519F3"/>
    <w:rsid w:val="00851A26"/>
    <w:rsid w:val="00851EED"/>
    <w:rsid w:val="0085255A"/>
    <w:rsid w:val="00855642"/>
    <w:rsid w:val="008556F2"/>
    <w:rsid w:val="00860439"/>
    <w:rsid w:val="00861265"/>
    <w:rsid w:val="008754AB"/>
    <w:rsid w:val="00881AC5"/>
    <w:rsid w:val="00891CF8"/>
    <w:rsid w:val="00896477"/>
    <w:rsid w:val="008A01B3"/>
    <w:rsid w:val="008A2F4D"/>
    <w:rsid w:val="008A56D3"/>
    <w:rsid w:val="008A76F3"/>
    <w:rsid w:val="008B1393"/>
    <w:rsid w:val="008B38B5"/>
    <w:rsid w:val="008B5028"/>
    <w:rsid w:val="008C2811"/>
    <w:rsid w:val="008C4473"/>
    <w:rsid w:val="008E0F1E"/>
    <w:rsid w:val="008E456E"/>
    <w:rsid w:val="008F1790"/>
    <w:rsid w:val="0090136E"/>
    <w:rsid w:val="009053B0"/>
    <w:rsid w:val="00905CD3"/>
    <w:rsid w:val="00906C4B"/>
    <w:rsid w:val="009126E8"/>
    <w:rsid w:val="00914CDA"/>
    <w:rsid w:val="00916366"/>
    <w:rsid w:val="00917E9F"/>
    <w:rsid w:val="009219AF"/>
    <w:rsid w:val="0092203E"/>
    <w:rsid w:val="009232C3"/>
    <w:rsid w:val="00924D4A"/>
    <w:rsid w:val="0092588F"/>
    <w:rsid w:val="009260FC"/>
    <w:rsid w:val="00926D9C"/>
    <w:rsid w:val="00932340"/>
    <w:rsid w:val="00944D57"/>
    <w:rsid w:val="009503DF"/>
    <w:rsid w:val="00951CC6"/>
    <w:rsid w:val="009522B7"/>
    <w:rsid w:val="00965690"/>
    <w:rsid w:val="00965E79"/>
    <w:rsid w:val="00965EB2"/>
    <w:rsid w:val="00966F10"/>
    <w:rsid w:val="0097084A"/>
    <w:rsid w:val="0097224B"/>
    <w:rsid w:val="00980877"/>
    <w:rsid w:val="00980CF7"/>
    <w:rsid w:val="00981D73"/>
    <w:rsid w:val="00993A22"/>
    <w:rsid w:val="009A3388"/>
    <w:rsid w:val="009B10A5"/>
    <w:rsid w:val="009B25EC"/>
    <w:rsid w:val="009B4763"/>
    <w:rsid w:val="009B5DF4"/>
    <w:rsid w:val="009C4D8A"/>
    <w:rsid w:val="009C4DBB"/>
    <w:rsid w:val="009C5D9C"/>
    <w:rsid w:val="009D144D"/>
    <w:rsid w:val="009D2C64"/>
    <w:rsid w:val="009D77CA"/>
    <w:rsid w:val="009E15A5"/>
    <w:rsid w:val="009E30A6"/>
    <w:rsid w:val="009E5525"/>
    <w:rsid w:val="009E57D1"/>
    <w:rsid w:val="009F0C6F"/>
    <w:rsid w:val="009F3AAD"/>
    <w:rsid w:val="009F44FE"/>
    <w:rsid w:val="009F558D"/>
    <w:rsid w:val="009F59D0"/>
    <w:rsid w:val="009F7F7B"/>
    <w:rsid w:val="00A0166C"/>
    <w:rsid w:val="00A021C8"/>
    <w:rsid w:val="00A03206"/>
    <w:rsid w:val="00A0343A"/>
    <w:rsid w:val="00A0369B"/>
    <w:rsid w:val="00A056DC"/>
    <w:rsid w:val="00A069FF"/>
    <w:rsid w:val="00A10B4C"/>
    <w:rsid w:val="00A10C7A"/>
    <w:rsid w:val="00A1109D"/>
    <w:rsid w:val="00A14C2D"/>
    <w:rsid w:val="00A22A0C"/>
    <w:rsid w:val="00A23594"/>
    <w:rsid w:val="00A2584A"/>
    <w:rsid w:val="00A25C1D"/>
    <w:rsid w:val="00A32D90"/>
    <w:rsid w:val="00A35BF7"/>
    <w:rsid w:val="00A42C38"/>
    <w:rsid w:val="00A452BD"/>
    <w:rsid w:val="00A46E0A"/>
    <w:rsid w:val="00A478B5"/>
    <w:rsid w:val="00A47AC1"/>
    <w:rsid w:val="00A5246C"/>
    <w:rsid w:val="00A5276F"/>
    <w:rsid w:val="00A623F9"/>
    <w:rsid w:val="00A70A9A"/>
    <w:rsid w:val="00A7183F"/>
    <w:rsid w:val="00A71F76"/>
    <w:rsid w:val="00A73087"/>
    <w:rsid w:val="00A73B49"/>
    <w:rsid w:val="00A74C4B"/>
    <w:rsid w:val="00A815B8"/>
    <w:rsid w:val="00A83643"/>
    <w:rsid w:val="00A90E8C"/>
    <w:rsid w:val="00A94189"/>
    <w:rsid w:val="00A96B34"/>
    <w:rsid w:val="00AA04D7"/>
    <w:rsid w:val="00AA5028"/>
    <w:rsid w:val="00AB3897"/>
    <w:rsid w:val="00AC07F5"/>
    <w:rsid w:val="00AC1B71"/>
    <w:rsid w:val="00AC2677"/>
    <w:rsid w:val="00AC3419"/>
    <w:rsid w:val="00AC72CB"/>
    <w:rsid w:val="00AD01B8"/>
    <w:rsid w:val="00AD7017"/>
    <w:rsid w:val="00AD7FAD"/>
    <w:rsid w:val="00AE134C"/>
    <w:rsid w:val="00AE20B6"/>
    <w:rsid w:val="00AE6590"/>
    <w:rsid w:val="00AE7504"/>
    <w:rsid w:val="00AF0784"/>
    <w:rsid w:val="00AF1E97"/>
    <w:rsid w:val="00AF1F32"/>
    <w:rsid w:val="00AF28B5"/>
    <w:rsid w:val="00B00579"/>
    <w:rsid w:val="00B0060B"/>
    <w:rsid w:val="00B0241B"/>
    <w:rsid w:val="00B0775C"/>
    <w:rsid w:val="00B07CAD"/>
    <w:rsid w:val="00B15FBE"/>
    <w:rsid w:val="00B22299"/>
    <w:rsid w:val="00B228E9"/>
    <w:rsid w:val="00B23828"/>
    <w:rsid w:val="00B27583"/>
    <w:rsid w:val="00B3235A"/>
    <w:rsid w:val="00B35286"/>
    <w:rsid w:val="00B43BEA"/>
    <w:rsid w:val="00B44073"/>
    <w:rsid w:val="00B44375"/>
    <w:rsid w:val="00B452A9"/>
    <w:rsid w:val="00B5206E"/>
    <w:rsid w:val="00B537FF"/>
    <w:rsid w:val="00B54248"/>
    <w:rsid w:val="00B6179C"/>
    <w:rsid w:val="00B61828"/>
    <w:rsid w:val="00B671BD"/>
    <w:rsid w:val="00B71331"/>
    <w:rsid w:val="00B75096"/>
    <w:rsid w:val="00B7626B"/>
    <w:rsid w:val="00B77502"/>
    <w:rsid w:val="00B818C4"/>
    <w:rsid w:val="00B8656A"/>
    <w:rsid w:val="00B924FF"/>
    <w:rsid w:val="00B9498B"/>
    <w:rsid w:val="00BA6476"/>
    <w:rsid w:val="00BA736D"/>
    <w:rsid w:val="00BB1F73"/>
    <w:rsid w:val="00BB281D"/>
    <w:rsid w:val="00BB49C1"/>
    <w:rsid w:val="00BB60C8"/>
    <w:rsid w:val="00BC126F"/>
    <w:rsid w:val="00BC127B"/>
    <w:rsid w:val="00BC132E"/>
    <w:rsid w:val="00BC192B"/>
    <w:rsid w:val="00BC3295"/>
    <w:rsid w:val="00BC4098"/>
    <w:rsid w:val="00BC43F0"/>
    <w:rsid w:val="00BC7CC5"/>
    <w:rsid w:val="00BD79A2"/>
    <w:rsid w:val="00BD7C39"/>
    <w:rsid w:val="00BE00CE"/>
    <w:rsid w:val="00BE224B"/>
    <w:rsid w:val="00BE31E6"/>
    <w:rsid w:val="00BE3C4F"/>
    <w:rsid w:val="00BE4125"/>
    <w:rsid w:val="00BE6933"/>
    <w:rsid w:val="00BF4644"/>
    <w:rsid w:val="00BF57A3"/>
    <w:rsid w:val="00BF5A55"/>
    <w:rsid w:val="00BF7952"/>
    <w:rsid w:val="00C01177"/>
    <w:rsid w:val="00C0698B"/>
    <w:rsid w:val="00C13185"/>
    <w:rsid w:val="00C14BBF"/>
    <w:rsid w:val="00C21E69"/>
    <w:rsid w:val="00C246E4"/>
    <w:rsid w:val="00C25624"/>
    <w:rsid w:val="00C2586F"/>
    <w:rsid w:val="00C26D1B"/>
    <w:rsid w:val="00C26DE0"/>
    <w:rsid w:val="00C31676"/>
    <w:rsid w:val="00C335DE"/>
    <w:rsid w:val="00C338C1"/>
    <w:rsid w:val="00C35378"/>
    <w:rsid w:val="00C35F65"/>
    <w:rsid w:val="00C40581"/>
    <w:rsid w:val="00C417D7"/>
    <w:rsid w:val="00C42349"/>
    <w:rsid w:val="00C446B4"/>
    <w:rsid w:val="00C6028B"/>
    <w:rsid w:val="00C61F09"/>
    <w:rsid w:val="00C64AA2"/>
    <w:rsid w:val="00C64C42"/>
    <w:rsid w:val="00C65397"/>
    <w:rsid w:val="00C723CA"/>
    <w:rsid w:val="00C72BC5"/>
    <w:rsid w:val="00C74FA7"/>
    <w:rsid w:val="00C7773E"/>
    <w:rsid w:val="00C80080"/>
    <w:rsid w:val="00C8226C"/>
    <w:rsid w:val="00C83F1E"/>
    <w:rsid w:val="00C85394"/>
    <w:rsid w:val="00C87467"/>
    <w:rsid w:val="00C87DED"/>
    <w:rsid w:val="00C9466F"/>
    <w:rsid w:val="00C95A6E"/>
    <w:rsid w:val="00C97A22"/>
    <w:rsid w:val="00CA0A5F"/>
    <w:rsid w:val="00CA3847"/>
    <w:rsid w:val="00CA7D45"/>
    <w:rsid w:val="00CB0299"/>
    <w:rsid w:val="00CB0677"/>
    <w:rsid w:val="00CB24F1"/>
    <w:rsid w:val="00CB7D6B"/>
    <w:rsid w:val="00CC0F57"/>
    <w:rsid w:val="00CC2F44"/>
    <w:rsid w:val="00CC3015"/>
    <w:rsid w:val="00CC3ADF"/>
    <w:rsid w:val="00CD70E6"/>
    <w:rsid w:val="00CD7C35"/>
    <w:rsid w:val="00CE011B"/>
    <w:rsid w:val="00CE0454"/>
    <w:rsid w:val="00CE0C62"/>
    <w:rsid w:val="00CE255E"/>
    <w:rsid w:val="00CE34EA"/>
    <w:rsid w:val="00CE3F82"/>
    <w:rsid w:val="00CE4255"/>
    <w:rsid w:val="00CF090B"/>
    <w:rsid w:val="00D00099"/>
    <w:rsid w:val="00D00497"/>
    <w:rsid w:val="00D018CA"/>
    <w:rsid w:val="00D0301D"/>
    <w:rsid w:val="00D2387A"/>
    <w:rsid w:val="00D2747C"/>
    <w:rsid w:val="00D3309F"/>
    <w:rsid w:val="00D338AC"/>
    <w:rsid w:val="00D33ECA"/>
    <w:rsid w:val="00D34FF3"/>
    <w:rsid w:val="00D373BF"/>
    <w:rsid w:val="00D4001C"/>
    <w:rsid w:val="00D43442"/>
    <w:rsid w:val="00D51E3B"/>
    <w:rsid w:val="00D52B1B"/>
    <w:rsid w:val="00D52EBA"/>
    <w:rsid w:val="00D535CD"/>
    <w:rsid w:val="00D56375"/>
    <w:rsid w:val="00D57880"/>
    <w:rsid w:val="00D61379"/>
    <w:rsid w:val="00D6334A"/>
    <w:rsid w:val="00D63677"/>
    <w:rsid w:val="00D726DA"/>
    <w:rsid w:val="00D73215"/>
    <w:rsid w:val="00D73C86"/>
    <w:rsid w:val="00D8329C"/>
    <w:rsid w:val="00D87F50"/>
    <w:rsid w:val="00D9286A"/>
    <w:rsid w:val="00D92938"/>
    <w:rsid w:val="00D92F3D"/>
    <w:rsid w:val="00D93918"/>
    <w:rsid w:val="00D941F4"/>
    <w:rsid w:val="00D97B08"/>
    <w:rsid w:val="00DA15DA"/>
    <w:rsid w:val="00DA4AA8"/>
    <w:rsid w:val="00DA57B8"/>
    <w:rsid w:val="00DB184A"/>
    <w:rsid w:val="00DC332D"/>
    <w:rsid w:val="00DD2BDD"/>
    <w:rsid w:val="00DE0BED"/>
    <w:rsid w:val="00DE3CD9"/>
    <w:rsid w:val="00DE58AA"/>
    <w:rsid w:val="00DE7FEA"/>
    <w:rsid w:val="00DF0989"/>
    <w:rsid w:val="00DF3E30"/>
    <w:rsid w:val="00E00E45"/>
    <w:rsid w:val="00E0349C"/>
    <w:rsid w:val="00E03515"/>
    <w:rsid w:val="00E03C14"/>
    <w:rsid w:val="00E11069"/>
    <w:rsid w:val="00E110CE"/>
    <w:rsid w:val="00E14ADF"/>
    <w:rsid w:val="00E17609"/>
    <w:rsid w:val="00E17B87"/>
    <w:rsid w:val="00E25CD9"/>
    <w:rsid w:val="00E33647"/>
    <w:rsid w:val="00E36976"/>
    <w:rsid w:val="00E42783"/>
    <w:rsid w:val="00E478A5"/>
    <w:rsid w:val="00E47983"/>
    <w:rsid w:val="00E564ED"/>
    <w:rsid w:val="00E56CF1"/>
    <w:rsid w:val="00E63611"/>
    <w:rsid w:val="00E63652"/>
    <w:rsid w:val="00E6675D"/>
    <w:rsid w:val="00E77683"/>
    <w:rsid w:val="00E83CDD"/>
    <w:rsid w:val="00E85B24"/>
    <w:rsid w:val="00E875F3"/>
    <w:rsid w:val="00E8763A"/>
    <w:rsid w:val="00E952C4"/>
    <w:rsid w:val="00E9589D"/>
    <w:rsid w:val="00E965B3"/>
    <w:rsid w:val="00E977D3"/>
    <w:rsid w:val="00EA199C"/>
    <w:rsid w:val="00EA1C38"/>
    <w:rsid w:val="00EA66EF"/>
    <w:rsid w:val="00EA6989"/>
    <w:rsid w:val="00EA79AA"/>
    <w:rsid w:val="00EB0C5C"/>
    <w:rsid w:val="00EB5738"/>
    <w:rsid w:val="00EB5753"/>
    <w:rsid w:val="00EB6181"/>
    <w:rsid w:val="00EB61DC"/>
    <w:rsid w:val="00EC2BE2"/>
    <w:rsid w:val="00EC3B69"/>
    <w:rsid w:val="00EC76EE"/>
    <w:rsid w:val="00EC7FB5"/>
    <w:rsid w:val="00ED4326"/>
    <w:rsid w:val="00ED51C8"/>
    <w:rsid w:val="00ED783C"/>
    <w:rsid w:val="00EE09ED"/>
    <w:rsid w:val="00EE53A7"/>
    <w:rsid w:val="00EE5B78"/>
    <w:rsid w:val="00EF2509"/>
    <w:rsid w:val="00EF4E29"/>
    <w:rsid w:val="00EF5970"/>
    <w:rsid w:val="00F04BFC"/>
    <w:rsid w:val="00F10744"/>
    <w:rsid w:val="00F12120"/>
    <w:rsid w:val="00F148D0"/>
    <w:rsid w:val="00F16656"/>
    <w:rsid w:val="00F179C7"/>
    <w:rsid w:val="00F22A4F"/>
    <w:rsid w:val="00F30594"/>
    <w:rsid w:val="00F31529"/>
    <w:rsid w:val="00F318D6"/>
    <w:rsid w:val="00F33F5A"/>
    <w:rsid w:val="00F34F5B"/>
    <w:rsid w:val="00F35821"/>
    <w:rsid w:val="00F443E7"/>
    <w:rsid w:val="00F478D5"/>
    <w:rsid w:val="00F51167"/>
    <w:rsid w:val="00F5143E"/>
    <w:rsid w:val="00F51574"/>
    <w:rsid w:val="00F524BE"/>
    <w:rsid w:val="00F53608"/>
    <w:rsid w:val="00F5709E"/>
    <w:rsid w:val="00F61B5D"/>
    <w:rsid w:val="00F62E56"/>
    <w:rsid w:val="00F64423"/>
    <w:rsid w:val="00F648AC"/>
    <w:rsid w:val="00F6615A"/>
    <w:rsid w:val="00F6771C"/>
    <w:rsid w:val="00F700DA"/>
    <w:rsid w:val="00F7200D"/>
    <w:rsid w:val="00F75923"/>
    <w:rsid w:val="00F76B78"/>
    <w:rsid w:val="00F80F2C"/>
    <w:rsid w:val="00F83563"/>
    <w:rsid w:val="00F842A4"/>
    <w:rsid w:val="00F84FB2"/>
    <w:rsid w:val="00F85415"/>
    <w:rsid w:val="00F92C46"/>
    <w:rsid w:val="00F92C58"/>
    <w:rsid w:val="00F94921"/>
    <w:rsid w:val="00F9636C"/>
    <w:rsid w:val="00F967F6"/>
    <w:rsid w:val="00F977E9"/>
    <w:rsid w:val="00FA11C9"/>
    <w:rsid w:val="00FA360A"/>
    <w:rsid w:val="00FA3ED2"/>
    <w:rsid w:val="00FA5678"/>
    <w:rsid w:val="00FA68C9"/>
    <w:rsid w:val="00FA6A14"/>
    <w:rsid w:val="00FA70AC"/>
    <w:rsid w:val="00FA7164"/>
    <w:rsid w:val="00FB0845"/>
    <w:rsid w:val="00FB0CC1"/>
    <w:rsid w:val="00FB1A7E"/>
    <w:rsid w:val="00FB2552"/>
    <w:rsid w:val="00FB4DB7"/>
    <w:rsid w:val="00FC487A"/>
    <w:rsid w:val="00FC595C"/>
    <w:rsid w:val="00FC65CB"/>
    <w:rsid w:val="00FC694B"/>
    <w:rsid w:val="00FC772B"/>
    <w:rsid w:val="00FD6452"/>
    <w:rsid w:val="00FD7EDC"/>
    <w:rsid w:val="00FE3220"/>
    <w:rsid w:val="00FE74A8"/>
    <w:rsid w:val="00FE7740"/>
    <w:rsid w:val="00FF157F"/>
    <w:rsid w:val="00FF3B1A"/>
    <w:rsid w:val="00FF47D1"/>
    <w:rsid w:val="00FF5E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CE53C"/>
  <w15:chartTrackingRefBased/>
  <w15:docId w15:val="{513A5AA5-263D-41F3-9089-77E49306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308"/>
    <w:pPr>
      <w:spacing w:after="0" w:line="240" w:lineRule="auto"/>
      <w:ind w:firstLine="709"/>
      <w:jc w:val="both"/>
    </w:pPr>
    <w:rPr>
      <w:rFonts w:ascii="Times New Roman" w:eastAsia="Times New Roman" w:hAnsi="Times New Roman" w:cs="Times New Roman"/>
      <w:color w:val="000000"/>
      <w:sz w:val="28"/>
      <w:szCs w:val="28"/>
    </w:rPr>
  </w:style>
  <w:style w:type="paragraph" w:styleId="3">
    <w:name w:val="heading 3"/>
    <w:basedOn w:val="a"/>
    <w:link w:val="30"/>
    <w:uiPriority w:val="9"/>
    <w:qFormat/>
    <w:rsid w:val="00555B65"/>
    <w:pPr>
      <w:spacing w:before="100" w:beforeAutospacing="1" w:after="100" w:afterAutospacing="1"/>
      <w:ind w:firstLine="0"/>
      <w:jc w:val="left"/>
      <w:outlineLvl w:val="2"/>
    </w:pPr>
    <w:rPr>
      <w:rFonts w:eastAsiaTheme="minorEastAsia"/>
      <w:b/>
      <w:bCs/>
      <w:color w:val="auto"/>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319B"/>
    <w:pPr>
      <w:spacing w:line="360" w:lineRule="auto"/>
      <w:ind w:left="720"/>
      <w:contextualSpacing/>
    </w:pPr>
    <w:rPr>
      <w:rFonts w:eastAsiaTheme="minorHAnsi" w:cstheme="minorBidi"/>
      <w:color w:val="auto"/>
      <w:lang w:val="ru-RU"/>
    </w:rPr>
  </w:style>
  <w:style w:type="paragraph" w:customStyle="1" w:styleId="rvps2">
    <w:name w:val="rvps2"/>
    <w:basedOn w:val="a"/>
    <w:rsid w:val="00291FFD"/>
    <w:pPr>
      <w:spacing w:before="100" w:beforeAutospacing="1" w:after="100" w:afterAutospacing="1"/>
      <w:ind w:firstLine="0"/>
      <w:jc w:val="left"/>
    </w:pPr>
    <w:rPr>
      <w:color w:val="auto"/>
      <w:sz w:val="24"/>
      <w:szCs w:val="24"/>
      <w:lang w:eastAsia="uk-UA"/>
    </w:rPr>
  </w:style>
  <w:style w:type="character" w:styleId="a5">
    <w:name w:val="annotation reference"/>
    <w:basedOn w:val="a0"/>
    <w:uiPriority w:val="99"/>
    <w:semiHidden/>
    <w:unhideWhenUsed/>
    <w:rsid w:val="00727E1A"/>
    <w:rPr>
      <w:sz w:val="16"/>
      <w:szCs w:val="16"/>
    </w:rPr>
  </w:style>
  <w:style w:type="paragraph" w:styleId="a6">
    <w:name w:val="annotation text"/>
    <w:basedOn w:val="a"/>
    <w:link w:val="a7"/>
    <w:uiPriority w:val="99"/>
    <w:unhideWhenUsed/>
    <w:rsid w:val="00727E1A"/>
    <w:rPr>
      <w:sz w:val="20"/>
      <w:szCs w:val="20"/>
    </w:rPr>
  </w:style>
  <w:style w:type="character" w:customStyle="1" w:styleId="a7">
    <w:name w:val="Текст примітки Знак"/>
    <w:basedOn w:val="a0"/>
    <w:link w:val="a6"/>
    <w:uiPriority w:val="99"/>
    <w:rsid w:val="00727E1A"/>
    <w:rPr>
      <w:rFonts w:ascii="Times New Roman" w:eastAsia="Times New Roman" w:hAnsi="Times New Roman" w:cs="Times New Roman"/>
      <w:color w:val="000000"/>
      <w:sz w:val="20"/>
      <w:szCs w:val="20"/>
    </w:rPr>
  </w:style>
  <w:style w:type="paragraph" w:styleId="a8">
    <w:name w:val="annotation subject"/>
    <w:basedOn w:val="a6"/>
    <w:next w:val="a6"/>
    <w:link w:val="a9"/>
    <w:uiPriority w:val="99"/>
    <w:semiHidden/>
    <w:unhideWhenUsed/>
    <w:rsid w:val="00727E1A"/>
    <w:rPr>
      <w:b/>
      <w:bCs/>
    </w:rPr>
  </w:style>
  <w:style w:type="character" w:customStyle="1" w:styleId="a9">
    <w:name w:val="Тема примітки Знак"/>
    <w:basedOn w:val="a7"/>
    <w:link w:val="a8"/>
    <w:uiPriority w:val="99"/>
    <w:semiHidden/>
    <w:rsid w:val="00727E1A"/>
    <w:rPr>
      <w:rFonts w:ascii="Times New Roman" w:eastAsia="Times New Roman" w:hAnsi="Times New Roman" w:cs="Times New Roman"/>
      <w:b/>
      <w:bCs/>
      <w:color w:val="000000"/>
      <w:sz w:val="20"/>
      <w:szCs w:val="20"/>
    </w:rPr>
  </w:style>
  <w:style w:type="paragraph" w:styleId="aa">
    <w:name w:val="Balloon Text"/>
    <w:basedOn w:val="a"/>
    <w:link w:val="ab"/>
    <w:uiPriority w:val="99"/>
    <w:semiHidden/>
    <w:unhideWhenUsed/>
    <w:rsid w:val="00727E1A"/>
    <w:rPr>
      <w:rFonts w:ascii="Segoe UI" w:hAnsi="Segoe UI" w:cs="Segoe UI"/>
      <w:sz w:val="18"/>
      <w:szCs w:val="18"/>
    </w:rPr>
  </w:style>
  <w:style w:type="character" w:customStyle="1" w:styleId="ab">
    <w:name w:val="Текст у виносці Знак"/>
    <w:basedOn w:val="a0"/>
    <w:link w:val="aa"/>
    <w:uiPriority w:val="99"/>
    <w:semiHidden/>
    <w:rsid w:val="00727E1A"/>
    <w:rPr>
      <w:rFonts w:ascii="Segoe UI" w:eastAsia="Times New Roman" w:hAnsi="Segoe UI" w:cs="Segoe UI"/>
      <w:color w:val="000000"/>
      <w:sz w:val="18"/>
      <w:szCs w:val="18"/>
    </w:rPr>
  </w:style>
  <w:style w:type="character" w:customStyle="1" w:styleId="rvts23">
    <w:name w:val="rvts23"/>
    <w:basedOn w:val="a0"/>
    <w:rsid w:val="00D338AC"/>
  </w:style>
  <w:style w:type="character" w:styleId="ac">
    <w:name w:val="Placeholder Text"/>
    <w:basedOn w:val="a0"/>
    <w:uiPriority w:val="99"/>
    <w:semiHidden/>
    <w:rsid w:val="00D338AC"/>
    <w:rPr>
      <w:rFonts w:cs="Times New Roman"/>
      <w:color w:val="808080"/>
    </w:rPr>
  </w:style>
  <w:style w:type="paragraph" w:styleId="ad">
    <w:name w:val="footnote text"/>
    <w:basedOn w:val="a"/>
    <w:link w:val="ae"/>
    <w:uiPriority w:val="99"/>
    <w:rsid w:val="00FA68C9"/>
    <w:pPr>
      <w:ind w:firstLine="0"/>
      <w:jc w:val="left"/>
    </w:pPr>
    <w:rPr>
      <w:color w:val="auto"/>
      <w:sz w:val="20"/>
      <w:szCs w:val="20"/>
      <w:lang w:eastAsia="ru-RU"/>
    </w:rPr>
  </w:style>
  <w:style w:type="character" w:customStyle="1" w:styleId="ae">
    <w:name w:val="Текст виноски Знак"/>
    <w:basedOn w:val="a0"/>
    <w:link w:val="ad"/>
    <w:uiPriority w:val="99"/>
    <w:rsid w:val="00FA68C9"/>
    <w:rPr>
      <w:rFonts w:ascii="Times New Roman" w:eastAsia="Times New Roman" w:hAnsi="Times New Roman" w:cs="Times New Roman"/>
      <w:sz w:val="20"/>
      <w:szCs w:val="20"/>
      <w:lang w:eastAsia="ru-RU"/>
    </w:rPr>
  </w:style>
  <w:style w:type="character" w:styleId="af">
    <w:name w:val="footnote reference"/>
    <w:rsid w:val="00FA68C9"/>
    <w:rPr>
      <w:vertAlign w:val="superscript"/>
    </w:rPr>
  </w:style>
  <w:style w:type="paragraph" w:styleId="af0">
    <w:name w:val="Normal (Web)"/>
    <w:basedOn w:val="a"/>
    <w:link w:val="af1"/>
    <w:uiPriority w:val="99"/>
    <w:rsid w:val="00C335DE"/>
    <w:pPr>
      <w:spacing w:before="100" w:beforeAutospacing="1" w:after="100" w:afterAutospacing="1"/>
      <w:ind w:firstLine="0"/>
      <w:jc w:val="left"/>
    </w:pPr>
    <w:rPr>
      <w:color w:val="auto"/>
      <w:sz w:val="24"/>
      <w:szCs w:val="24"/>
      <w:lang w:eastAsia="uk-UA"/>
    </w:rPr>
  </w:style>
  <w:style w:type="character" w:customStyle="1" w:styleId="af1">
    <w:name w:val="Звичайний (веб) Знак"/>
    <w:link w:val="af0"/>
    <w:locked/>
    <w:rsid w:val="00C335DE"/>
    <w:rPr>
      <w:rFonts w:ascii="Times New Roman" w:eastAsia="Times New Roman" w:hAnsi="Times New Roman" w:cs="Times New Roman"/>
      <w:sz w:val="24"/>
      <w:szCs w:val="24"/>
      <w:lang w:eastAsia="uk-UA"/>
    </w:rPr>
  </w:style>
  <w:style w:type="paragraph" w:styleId="af2">
    <w:name w:val="header"/>
    <w:basedOn w:val="a"/>
    <w:link w:val="af3"/>
    <w:uiPriority w:val="99"/>
    <w:unhideWhenUsed/>
    <w:rsid w:val="002F3F39"/>
    <w:pPr>
      <w:tabs>
        <w:tab w:val="center" w:pos="4819"/>
        <w:tab w:val="right" w:pos="9639"/>
      </w:tabs>
    </w:pPr>
  </w:style>
  <w:style w:type="character" w:customStyle="1" w:styleId="af3">
    <w:name w:val="Верхній колонтитул Знак"/>
    <w:basedOn w:val="a0"/>
    <w:link w:val="af2"/>
    <w:uiPriority w:val="99"/>
    <w:rsid w:val="002F3F39"/>
    <w:rPr>
      <w:rFonts w:ascii="Times New Roman" w:eastAsia="Times New Roman" w:hAnsi="Times New Roman" w:cs="Times New Roman"/>
      <w:color w:val="000000"/>
      <w:sz w:val="28"/>
      <w:szCs w:val="28"/>
    </w:rPr>
  </w:style>
  <w:style w:type="paragraph" w:styleId="af4">
    <w:name w:val="footer"/>
    <w:basedOn w:val="a"/>
    <w:link w:val="af5"/>
    <w:uiPriority w:val="99"/>
    <w:unhideWhenUsed/>
    <w:rsid w:val="002F3F39"/>
    <w:pPr>
      <w:tabs>
        <w:tab w:val="center" w:pos="4819"/>
        <w:tab w:val="right" w:pos="9639"/>
      </w:tabs>
    </w:pPr>
  </w:style>
  <w:style w:type="character" w:customStyle="1" w:styleId="af5">
    <w:name w:val="Нижній колонтитул Знак"/>
    <w:basedOn w:val="a0"/>
    <w:link w:val="af4"/>
    <w:uiPriority w:val="99"/>
    <w:rsid w:val="002F3F39"/>
    <w:rPr>
      <w:rFonts w:ascii="Times New Roman" w:eastAsia="Times New Roman" w:hAnsi="Times New Roman" w:cs="Times New Roman"/>
      <w:color w:val="000000"/>
      <w:sz w:val="28"/>
      <w:szCs w:val="28"/>
    </w:rPr>
  </w:style>
  <w:style w:type="character" w:styleId="af6">
    <w:name w:val="Hyperlink"/>
    <w:basedOn w:val="a0"/>
    <w:uiPriority w:val="99"/>
    <w:unhideWhenUsed/>
    <w:rsid w:val="006A63D8"/>
    <w:rPr>
      <w:color w:val="0000FF"/>
      <w:u w:val="single"/>
    </w:rPr>
  </w:style>
  <w:style w:type="character" w:customStyle="1" w:styleId="rvts37">
    <w:name w:val="rvts37"/>
    <w:basedOn w:val="a0"/>
    <w:rsid w:val="006A63D8"/>
  </w:style>
  <w:style w:type="character" w:customStyle="1" w:styleId="30">
    <w:name w:val="Заголовок 3 Знак"/>
    <w:basedOn w:val="a0"/>
    <w:link w:val="3"/>
    <w:uiPriority w:val="9"/>
    <w:rsid w:val="00555B65"/>
    <w:rPr>
      <w:rFonts w:ascii="Times New Roman" w:eastAsiaTheme="minorEastAsia" w:hAnsi="Times New Roman" w:cs="Times New Roman"/>
      <w:b/>
      <w:bCs/>
      <w:sz w:val="27"/>
      <w:szCs w:val="27"/>
      <w:lang w:val="ru-RU" w:eastAsia="ru-RU"/>
    </w:rPr>
  </w:style>
  <w:style w:type="character" w:customStyle="1" w:styleId="s1">
    <w:name w:val="s1"/>
    <w:basedOn w:val="a0"/>
    <w:rsid w:val="00E965B3"/>
  </w:style>
  <w:style w:type="paragraph" w:customStyle="1" w:styleId="1Str0">
    <w:name w:val="1.Str:0"/>
    <w:basedOn w:val="a"/>
    <w:next w:val="a"/>
    <w:qFormat/>
    <w:rsid w:val="0067077B"/>
    <w:pPr>
      <w:numPr>
        <w:numId w:val="18"/>
      </w:numPr>
      <w:tabs>
        <w:tab w:val="left" w:pos="1134"/>
      </w:tabs>
      <w:spacing w:before="280"/>
      <w:ind w:left="0"/>
      <w:outlineLvl w:val="2"/>
    </w:pPr>
    <w:rPr>
      <w:color w:val="auto"/>
    </w:rPr>
  </w:style>
  <w:style w:type="paragraph" w:customStyle="1" w:styleId="1Str11">
    <w:name w:val="1.Str:1.1"/>
    <w:basedOn w:val="1Str0"/>
    <w:link w:val="1Str110"/>
    <w:qFormat/>
    <w:rsid w:val="0067077B"/>
    <w:pPr>
      <w:numPr>
        <w:ilvl w:val="1"/>
      </w:numPr>
      <w:tabs>
        <w:tab w:val="num" w:pos="360"/>
      </w:tabs>
      <w:outlineLvl w:val="3"/>
    </w:pPr>
  </w:style>
  <w:style w:type="paragraph" w:customStyle="1" w:styleId="1Str2">
    <w:name w:val="1.Str:2"/>
    <w:basedOn w:val="a"/>
    <w:link w:val="1Str20"/>
    <w:qFormat/>
    <w:rsid w:val="0067077B"/>
    <w:rPr>
      <w:color w:val="auto"/>
      <w:lang w:val="en-US"/>
    </w:rPr>
  </w:style>
  <w:style w:type="character" w:customStyle="1" w:styleId="1Str20">
    <w:name w:val="1.Str:2 Знак"/>
    <w:basedOn w:val="a0"/>
    <w:link w:val="1Str2"/>
    <w:rsid w:val="0067077B"/>
    <w:rPr>
      <w:rFonts w:ascii="Times New Roman" w:eastAsia="Times New Roman" w:hAnsi="Times New Roman" w:cs="Times New Roman"/>
      <w:sz w:val="28"/>
      <w:szCs w:val="28"/>
      <w:lang w:val="en-US"/>
    </w:rPr>
  </w:style>
  <w:style w:type="character" w:customStyle="1" w:styleId="1Str110">
    <w:name w:val="1.Str:1.1 Знак"/>
    <w:basedOn w:val="a0"/>
    <w:link w:val="1Str11"/>
    <w:rsid w:val="0067077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414">
      <w:bodyDiv w:val="1"/>
      <w:marLeft w:val="0"/>
      <w:marRight w:val="0"/>
      <w:marTop w:val="0"/>
      <w:marBottom w:val="0"/>
      <w:divBdr>
        <w:top w:val="none" w:sz="0" w:space="0" w:color="auto"/>
        <w:left w:val="none" w:sz="0" w:space="0" w:color="auto"/>
        <w:bottom w:val="none" w:sz="0" w:space="0" w:color="auto"/>
        <w:right w:val="none" w:sz="0" w:space="0" w:color="auto"/>
      </w:divBdr>
    </w:div>
    <w:div w:id="38626662">
      <w:bodyDiv w:val="1"/>
      <w:marLeft w:val="0"/>
      <w:marRight w:val="0"/>
      <w:marTop w:val="0"/>
      <w:marBottom w:val="0"/>
      <w:divBdr>
        <w:top w:val="none" w:sz="0" w:space="0" w:color="auto"/>
        <w:left w:val="none" w:sz="0" w:space="0" w:color="auto"/>
        <w:bottom w:val="none" w:sz="0" w:space="0" w:color="auto"/>
        <w:right w:val="none" w:sz="0" w:space="0" w:color="auto"/>
      </w:divBdr>
    </w:div>
    <w:div w:id="137460992">
      <w:bodyDiv w:val="1"/>
      <w:marLeft w:val="0"/>
      <w:marRight w:val="0"/>
      <w:marTop w:val="0"/>
      <w:marBottom w:val="0"/>
      <w:divBdr>
        <w:top w:val="none" w:sz="0" w:space="0" w:color="auto"/>
        <w:left w:val="none" w:sz="0" w:space="0" w:color="auto"/>
        <w:bottom w:val="none" w:sz="0" w:space="0" w:color="auto"/>
        <w:right w:val="none" w:sz="0" w:space="0" w:color="auto"/>
      </w:divBdr>
    </w:div>
    <w:div w:id="303201047">
      <w:bodyDiv w:val="1"/>
      <w:marLeft w:val="0"/>
      <w:marRight w:val="0"/>
      <w:marTop w:val="0"/>
      <w:marBottom w:val="0"/>
      <w:divBdr>
        <w:top w:val="none" w:sz="0" w:space="0" w:color="auto"/>
        <w:left w:val="none" w:sz="0" w:space="0" w:color="auto"/>
        <w:bottom w:val="none" w:sz="0" w:space="0" w:color="auto"/>
        <w:right w:val="none" w:sz="0" w:space="0" w:color="auto"/>
      </w:divBdr>
    </w:div>
    <w:div w:id="352002741">
      <w:bodyDiv w:val="1"/>
      <w:marLeft w:val="0"/>
      <w:marRight w:val="0"/>
      <w:marTop w:val="0"/>
      <w:marBottom w:val="0"/>
      <w:divBdr>
        <w:top w:val="none" w:sz="0" w:space="0" w:color="auto"/>
        <w:left w:val="none" w:sz="0" w:space="0" w:color="auto"/>
        <w:bottom w:val="none" w:sz="0" w:space="0" w:color="auto"/>
        <w:right w:val="none" w:sz="0" w:space="0" w:color="auto"/>
      </w:divBdr>
    </w:div>
    <w:div w:id="434793809">
      <w:bodyDiv w:val="1"/>
      <w:marLeft w:val="0"/>
      <w:marRight w:val="0"/>
      <w:marTop w:val="0"/>
      <w:marBottom w:val="0"/>
      <w:divBdr>
        <w:top w:val="none" w:sz="0" w:space="0" w:color="auto"/>
        <w:left w:val="none" w:sz="0" w:space="0" w:color="auto"/>
        <w:bottom w:val="none" w:sz="0" w:space="0" w:color="auto"/>
        <w:right w:val="none" w:sz="0" w:space="0" w:color="auto"/>
      </w:divBdr>
    </w:div>
    <w:div w:id="446391794">
      <w:bodyDiv w:val="1"/>
      <w:marLeft w:val="0"/>
      <w:marRight w:val="0"/>
      <w:marTop w:val="0"/>
      <w:marBottom w:val="0"/>
      <w:divBdr>
        <w:top w:val="none" w:sz="0" w:space="0" w:color="auto"/>
        <w:left w:val="none" w:sz="0" w:space="0" w:color="auto"/>
        <w:bottom w:val="none" w:sz="0" w:space="0" w:color="auto"/>
        <w:right w:val="none" w:sz="0" w:space="0" w:color="auto"/>
      </w:divBdr>
    </w:div>
    <w:div w:id="532614599">
      <w:bodyDiv w:val="1"/>
      <w:marLeft w:val="0"/>
      <w:marRight w:val="0"/>
      <w:marTop w:val="0"/>
      <w:marBottom w:val="0"/>
      <w:divBdr>
        <w:top w:val="none" w:sz="0" w:space="0" w:color="auto"/>
        <w:left w:val="none" w:sz="0" w:space="0" w:color="auto"/>
        <w:bottom w:val="none" w:sz="0" w:space="0" w:color="auto"/>
        <w:right w:val="none" w:sz="0" w:space="0" w:color="auto"/>
      </w:divBdr>
    </w:div>
    <w:div w:id="572812628">
      <w:bodyDiv w:val="1"/>
      <w:marLeft w:val="0"/>
      <w:marRight w:val="0"/>
      <w:marTop w:val="0"/>
      <w:marBottom w:val="0"/>
      <w:divBdr>
        <w:top w:val="none" w:sz="0" w:space="0" w:color="auto"/>
        <w:left w:val="none" w:sz="0" w:space="0" w:color="auto"/>
        <w:bottom w:val="none" w:sz="0" w:space="0" w:color="auto"/>
        <w:right w:val="none" w:sz="0" w:space="0" w:color="auto"/>
      </w:divBdr>
    </w:div>
    <w:div w:id="657418739">
      <w:bodyDiv w:val="1"/>
      <w:marLeft w:val="0"/>
      <w:marRight w:val="0"/>
      <w:marTop w:val="0"/>
      <w:marBottom w:val="0"/>
      <w:divBdr>
        <w:top w:val="none" w:sz="0" w:space="0" w:color="auto"/>
        <w:left w:val="none" w:sz="0" w:space="0" w:color="auto"/>
        <w:bottom w:val="none" w:sz="0" w:space="0" w:color="auto"/>
        <w:right w:val="none" w:sz="0" w:space="0" w:color="auto"/>
      </w:divBdr>
    </w:div>
    <w:div w:id="674725232">
      <w:bodyDiv w:val="1"/>
      <w:marLeft w:val="0"/>
      <w:marRight w:val="0"/>
      <w:marTop w:val="0"/>
      <w:marBottom w:val="0"/>
      <w:divBdr>
        <w:top w:val="none" w:sz="0" w:space="0" w:color="auto"/>
        <w:left w:val="none" w:sz="0" w:space="0" w:color="auto"/>
        <w:bottom w:val="none" w:sz="0" w:space="0" w:color="auto"/>
        <w:right w:val="none" w:sz="0" w:space="0" w:color="auto"/>
      </w:divBdr>
    </w:div>
    <w:div w:id="732119030">
      <w:bodyDiv w:val="1"/>
      <w:marLeft w:val="0"/>
      <w:marRight w:val="0"/>
      <w:marTop w:val="0"/>
      <w:marBottom w:val="0"/>
      <w:divBdr>
        <w:top w:val="none" w:sz="0" w:space="0" w:color="auto"/>
        <w:left w:val="none" w:sz="0" w:space="0" w:color="auto"/>
        <w:bottom w:val="none" w:sz="0" w:space="0" w:color="auto"/>
        <w:right w:val="none" w:sz="0" w:space="0" w:color="auto"/>
      </w:divBdr>
    </w:div>
    <w:div w:id="772557004">
      <w:bodyDiv w:val="1"/>
      <w:marLeft w:val="0"/>
      <w:marRight w:val="0"/>
      <w:marTop w:val="0"/>
      <w:marBottom w:val="0"/>
      <w:divBdr>
        <w:top w:val="none" w:sz="0" w:space="0" w:color="auto"/>
        <w:left w:val="none" w:sz="0" w:space="0" w:color="auto"/>
        <w:bottom w:val="none" w:sz="0" w:space="0" w:color="auto"/>
        <w:right w:val="none" w:sz="0" w:space="0" w:color="auto"/>
      </w:divBdr>
    </w:div>
    <w:div w:id="806506786">
      <w:bodyDiv w:val="1"/>
      <w:marLeft w:val="0"/>
      <w:marRight w:val="0"/>
      <w:marTop w:val="0"/>
      <w:marBottom w:val="0"/>
      <w:divBdr>
        <w:top w:val="none" w:sz="0" w:space="0" w:color="auto"/>
        <w:left w:val="none" w:sz="0" w:space="0" w:color="auto"/>
        <w:bottom w:val="none" w:sz="0" w:space="0" w:color="auto"/>
        <w:right w:val="none" w:sz="0" w:space="0" w:color="auto"/>
      </w:divBdr>
    </w:div>
    <w:div w:id="891500453">
      <w:bodyDiv w:val="1"/>
      <w:marLeft w:val="0"/>
      <w:marRight w:val="0"/>
      <w:marTop w:val="0"/>
      <w:marBottom w:val="0"/>
      <w:divBdr>
        <w:top w:val="none" w:sz="0" w:space="0" w:color="auto"/>
        <w:left w:val="none" w:sz="0" w:space="0" w:color="auto"/>
        <w:bottom w:val="none" w:sz="0" w:space="0" w:color="auto"/>
        <w:right w:val="none" w:sz="0" w:space="0" w:color="auto"/>
      </w:divBdr>
    </w:div>
    <w:div w:id="911551177">
      <w:bodyDiv w:val="1"/>
      <w:marLeft w:val="0"/>
      <w:marRight w:val="0"/>
      <w:marTop w:val="0"/>
      <w:marBottom w:val="0"/>
      <w:divBdr>
        <w:top w:val="none" w:sz="0" w:space="0" w:color="auto"/>
        <w:left w:val="none" w:sz="0" w:space="0" w:color="auto"/>
        <w:bottom w:val="none" w:sz="0" w:space="0" w:color="auto"/>
        <w:right w:val="none" w:sz="0" w:space="0" w:color="auto"/>
      </w:divBdr>
    </w:div>
    <w:div w:id="1021468160">
      <w:bodyDiv w:val="1"/>
      <w:marLeft w:val="0"/>
      <w:marRight w:val="0"/>
      <w:marTop w:val="0"/>
      <w:marBottom w:val="0"/>
      <w:divBdr>
        <w:top w:val="none" w:sz="0" w:space="0" w:color="auto"/>
        <w:left w:val="none" w:sz="0" w:space="0" w:color="auto"/>
        <w:bottom w:val="none" w:sz="0" w:space="0" w:color="auto"/>
        <w:right w:val="none" w:sz="0" w:space="0" w:color="auto"/>
      </w:divBdr>
    </w:div>
    <w:div w:id="1056321440">
      <w:bodyDiv w:val="1"/>
      <w:marLeft w:val="0"/>
      <w:marRight w:val="0"/>
      <w:marTop w:val="0"/>
      <w:marBottom w:val="0"/>
      <w:divBdr>
        <w:top w:val="none" w:sz="0" w:space="0" w:color="auto"/>
        <w:left w:val="none" w:sz="0" w:space="0" w:color="auto"/>
        <w:bottom w:val="none" w:sz="0" w:space="0" w:color="auto"/>
        <w:right w:val="none" w:sz="0" w:space="0" w:color="auto"/>
      </w:divBdr>
    </w:div>
    <w:div w:id="1056705034">
      <w:bodyDiv w:val="1"/>
      <w:marLeft w:val="0"/>
      <w:marRight w:val="0"/>
      <w:marTop w:val="0"/>
      <w:marBottom w:val="0"/>
      <w:divBdr>
        <w:top w:val="none" w:sz="0" w:space="0" w:color="auto"/>
        <w:left w:val="none" w:sz="0" w:space="0" w:color="auto"/>
        <w:bottom w:val="none" w:sz="0" w:space="0" w:color="auto"/>
        <w:right w:val="none" w:sz="0" w:space="0" w:color="auto"/>
      </w:divBdr>
    </w:div>
    <w:div w:id="1082918863">
      <w:bodyDiv w:val="1"/>
      <w:marLeft w:val="0"/>
      <w:marRight w:val="0"/>
      <w:marTop w:val="0"/>
      <w:marBottom w:val="0"/>
      <w:divBdr>
        <w:top w:val="none" w:sz="0" w:space="0" w:color="auto"/>
        <w:left w:val="none" w:sz="0" w:space="0" w:color="auto"/>
        <w:bottom w:val="none" w:sz="0" w:space="0" w:color="auto"/>
        <w:right w:val="none" w:sz="0" w:space="0" w:color="auto"/>
      </w:divBdr>
    </w:div>
    <w:div w:id="1152718709">
      <w:bodyDiv w:val="1"/>
      <w:marLeft w:val="0"/>
      <w:marRight w:val="0"/>
      <w:marTop w:val="0"/>
      <w:marBottom w:val="0"/>
      <w:divBdr>
        <w:top w:val="none" w:sz="0" w:space="0" w:color="auto"/>
        <w:left w:val="none" w:sz="0" w:space="0" w:color="auto"/>
        <w:bottom w:val="none" w:sz="0" w:space="0" w:color="auto"/>
        <w:right w:val="none" w:sz="0" w:space="0" w:color="auto"/>
      </w:divBdr>
    </w:div>
    <w:div w:id="1284195481">
      <w:bodyDiv w:val="1"/>
      <w:marLeft w:val="0"/>
      <w:marRight w:val="0"/>
      <w:marTop w:val="0"/>
      <w:marBottom w:val="0"/>
      <w:divBdr>
        <w:top w:val="none" w:sz="0" w:space="0" w:color="auto"/>
        <w:left w:val="none" w:sz="0" w:space="0" w:color="auto"/>
        <w:bottom w:val="none" w:sz="0" w:space="0" w:color="auto"/>
        <w:right w:val="none" w:sz="0" w:space="0" w:color="auto"/>
      </w:divBdr>
    </w:div>
    <w:div w:id="1342244757">
      <w:bodyDiv w:val="1"/>
      <w:marLeft w:val="0"/>
      <w:marRight w:val="0"/>
      <w:marTop w:val="0"/>
      <w:marBottom w:val="0"/>
      <w:divBdr>
        <w:top w:val="none" w:sz="0" w:space="0" w:color="auto"/>
        <w:left w:val="none" w:sz="0" w:space="0" w:color="auto"/>
        <w:bottom w:val="none" w:sz="0" w:space="0" w:color="auto"/>
        <w:right w:val="none" w:sz="0" w:space="0" w:color="auto"/>
      </w:divBdr>
    </w:div>
    <w:div w:id="1359160125">
      <w:bodyDiv w:val="1"/>
      <w:marLeft w:val="0"/>
      <w:marRight w:val="0"/>
      <w:marTop w:val="0"/>
      <w:marBottom w:val="0"/>
      <w:divBdr>
        <w:top w:val="none" w:sz="0" w:space="0" w:color="auto"/>
        <w:left w:val="none" w:sz="0" w:space="0" w:color="auto"/>
        <w:bottom w:val="none" w:sz="0" w:space="0" w:color="auto"/>
        <w:right w:val="none" w:sz="0" w:space="0" w:color="auto"/>
      </w:divBdr>
    </w:div>
    <w:div w:id="1593589677">
      <w:bodyDiv w:val="1"/>
      <w:marLeft w:val="0"/>
      <w:marRight w:val="0"/>
      <w:marTop w:val="0"/>
      <w:marBottom w:val="0"/>
      <w:divBdr>
        <w:top w:val="none" w:sz="0" w:space="0" w:color="auto"/>
        <w:left w:val="none" w:sz="0" w:space="0" w:color="auto"/>
        <w:bottom w:val="none" w:sz="0" w:space="0" w:color="auto"/>
        <w:right w:val="none" w:sz="0" w:space="0" w:color="auto"/>
      </w:divBdr>
    </w:div>
    <w:div w:id="1613435909">
      <w:bodyDiv w:val="1"/>
      <w:marLeft w:val="0"/>
      <w:marRight w:val="0"/>
      <w:marTop w:val="0"/>
      <w:marBottom w:val="0"/>
      <w:divBdr>
        <w:top w:val="none" w:sz="0" w:space="0" w:color="auto"/>
        <w:left w:val="none" w:sz="0" w:space="0" w:color="auto"/>
        <w:bottom w:val="none" w:sz="0" w:space="0" w:color="auto"/>
        <w:right w:val="none" w:sz="0" w:space="0" w:color="auto"/>
      </w:divBdr>
    </w:div>
    <w:div w:id="1661887796">
      <w:bodyDiv w:val="1"/>
      <w:marLeft w:val="0"/>
      <w:marRight w:val="0"/>
      <w:marTop w:val="0"/>
      <w:marBottom w:val="0"/>
      <w:divBdr>
        <w:top w:val="none" w:sz="0" w:space="0" w:color="auto"/>
        <w:left w:val="none" w:sz="0" w:space="0" w:color="auto"/>
        <w:bottom w:val="none" w:sz="0" w:space="0" w:color="auto"/>
        <w:right w:val="none" w:sz="0" w:space="0" w:color="auto"/>
      </w:divBdr>
    </w:div>
    <w:div w:id="1754693124">
      <w:bodyDiv w:val="1"/>
      <w:marLeft w:val="0"/>
      <w:marRight w:val="0"/>
      <w:marTop w:val="0"/>
      <w:marBottom w:val="0"/>
      <w:divBdr>
        <w:top w:val="none" w:sz="0" w:space="0" w:color="auto"/>
        <w:left w:val="none" w:sz="0" w:space="0" w:color="auto"/>
        <w:bottom w:val="none" w:sz="0" w:space="0" w:color="auto"/>
        <w:right w:val="none" w:sz="0" w:space="0" w:color="auto"/>
      </w:divBdr>
    </w:div>
    <w:div w:id="1755469387">
      <w:bodyDiv w:val="1"/>
      <w:marLeft w:val="0"/>
      <w:marRight w:val="0"/>
      <w:marTop w:val="0"/>
      <w:marBottom w:val="0"/>
      <w:divBdr>
        <w:top w:val="none" w:sz="0" w:space="0" w:color="auto"/>
        <w:left w:val="none" w:sz="0" w:space="0" w:color="auto"/>
        <w:bottom w:val="none" w:sz="0" w:space="0" w:color="auto"/>
        <w:right w:val="none" w:sz="0" w:space="0" w:color="auto"/>
      </w:divBdr>
    </w:div>
    <w:div w:id="1850756354">
      <w:bodyDiv w:val="1"/>
      <w:marLeft w:val="0"/>
      <w:marRight w:val="0"/>
      <w:marTop w:val="0"/>
      <w:marBottom w:val="0"/>
      <w:divBdr>
        <w:top w:val="none" w:sz="0" w:space="0" w:color="auto"/>
        <w:left w:val="none" w:sz="0" w:space="0" w:color="auto"/>
        <w:bottom w:val="none" w:sz="0" w:space="0" w:color="auto"/>
        <w:right w:val="none" w:sz="0" w:space="0" w:color="auto"/>
      </w:divBdr>
    </w:div>
    <w:div w:id="1851487339">
      <w:bodyDiv w:val="1"/>
      <w:marLeft w:val="0"/>
      <w:marRight w:val="0"/>
      <w:marTop w:val="0"/>
      <w:marBottom w:val="0"/>
      <w:divBdr>
        <w:top w:val="none" w:sz="0" w:space="0" w:color="auto"/>
        <w:left w:val="none" w:sz="0" w:space="0" w:color="auto"/>
        <w:bottom w:val="none" w:sz="0" w:space="0" w:color="auto"/>
        <w:right w:val="none" w:sz="0" w:space="0" w:color="auto"/>
      </w:divBdr>
    </w:div>
    <w:div w:id="1885362762">
      <w:bodyDiv w:val="1"/>
      <w:marLeft w:val="0"/>
      <w:marRight w:val="0"/>
      <w:marTop w:val="0"/>
      <w:marBottom w:val="0"/>
      <w:divBdr>
        <w:top w:val="none" w:sz="0" w:space="0" w:color="auto"/>
        <w:left w:val="none" w:sz="0" w:space="0" w:color="auto"/>
        <w:bottom w:val="none" w:sz="0" w:space="0" w:color="auto"/>
        <w:right w:val="none" w:sz="0" w:space="0" w:color="auto"/>
      </w:divBdr>
    </w:div>
    <w:div w:id="1952860927">
      <w:bodyDiv w:val="1"/>
      <w:marLeft w:val="0"/>
      <w:marRight w:val="0"/>
      <w:marTop w:val="0"/>
      <w:marBottom w:val="0"/>
      <w:divBdr>
        <w:top w:val="none" w:sz="0" w:space="0" w:color="auto"/>
        <w:left w:val="none" w:sz="0" w:space="0" w:color="auto"/>
        <w:bottom w:val="none" w:sz="0" w:space="0" w:color="auto"/>
        <w:right w:val="none" w:sz="0" w:space="0" w:color="auto"/>
      </w:divBdr>
    </w:div>
    <w:div w:id="1969237934">
      <w:bodyDiv w:val="1"/>
      <w:marLeft w:val="0"/>
      <w:marRight w:val="0"/>
      <w:marTop w:val="0"/>
      <w:marBottom w:val="0"/>
      <w:divBdr>
        <w:top w:val="none" w:sz="0" w:space="0" w:color="auto"/>
        <w:left w:val="none" w:sz="0" w:space="0" w:color="auto"/>
        <w:bottom w:val="none" w:sz="0" w:space="0" w:color="auto"/>
        <w:right w:val="none" w:sz="0" w:space="0" w:color="auto"/>
      </w:divBdr>
    </w:div>
    <w:div w:id="20094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63-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78500-2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10DA-4F60-48C8-900F-7483ABB7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18652</Words>
  <Characters>10633</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Лисенко Антоніна Анатоліївна</dc:creator>
  <cp:keywords/>
  <dc:description/>
  <cp:lastModifiedBy>Лисенко Антоніна Анатоліївна</cp:lastModifiedBy>
  <cp:revision>2</cp:revision>
  <dcterms:created xsi:type="dcterms:W3CDTF">2026-02-09T10:42:00Z</dcterms:created>
  <dcterms:modified xsi:type="dcterms:W3CDTF">2026-02-09T10:42:00Z</dcterms:modified>
</cp:coreProperties>
</file>