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0F935" w14:textId="54F30A9C" w:rsidR="00D42364" w:rsidRPr="007122BF" w:rsidRDefault="00D42364" w:rsidP="00D42364">
      <w:pPr>
        <w:spacing w:after="200" w:line="276" w:lineRule="auto"/>
        <w:ind w:left="-104" w:firstLine="104"/>
        <w:jc w:val="center"/>
        <w:rPr>
          <w:rFonts w:ascii="Times New Roman" w:eastAsia="Times New Roman" w:hAnsi="Times New Roman" w:cs="Times New Roman"/>
          <w:sz w:val="28"/>
          <w:szCs w:val="28"/>
        </w:rPr>
      </w:pPr>
      <w:r w:rsidRPr="007122BF">
        <w:rPr>
          <w:rFonts w:ascii="Times New Roman" w:eastAsia="Times New Roman" w:hAnsi="Times New Roman" w:cs="Times New Roman"/>
          <w:sz w:val="28"/>
          <w:szCs w:val="28"/>
        </w:rPr>
        <w:t>Порівняльна таблиця до проєкту</w:t>
      </w:r>
      <w:r w:rsidR="003E689E">
        <w:rPr>
          <w:rFonts w:ascii="Times New Roman" w:eastAsia="Times New Roman" w:hAnsi="Times New Roman" w:cs="Times New Roman"/>
          <w:sz w:val="28"/>
          <w:szCs w:val="28"/>
        </w:rPr>
        <w:t xml:space="preserve"> постанови Правління Національного банку України </w:t>
      </w:r>
      <w:r w:rsidRPr="007122BF">
        <w:rPr>
          <w:rFonts w:ascii="Times New Roman" w:eastAsia="Times New Roman" w:hAnsi="Times New Roman" w:cs="Times New Roman"/>
          <w:sz w:val="28"/>
          <w:szCs w:val="28"/>
        </w:rPr>
        <w:t xml:space="preserve">“Про </w:t>
      </w:r>
      <w:r w:rsidR="00623CF2">
        <w:rPr>
          <w:rFonts w:ascii="Times New Roman" w:eastAsia="Times New Roman" w:hAnsi="Times New Roman" w:cs="Times New Roman"/>
          <w:sz w:val="28"/>
          <w:szCs w:val="28"/>
        </w:rPr>
        <w:t>внесення з</w:t>
      </w:r>
      <w:r w:rsidR="006070F0">
        <w:rPr>
          <w:rFonts w:ascii="Times New Roman" w:eastAsia="Times New Roman" w:hAnsi="Times New Roman" w:cs="Times New Roman"/>
          <w:sz w:val="28"/>
          <w:szCs w:val="28"/>
        </w:rPr>
        <w:t>м</w:t>
      </w:r>
      <w:r w:rsidR="00F56874">
        <w:rPr>
          <w:rFonts w:ascii="Times New Roman" w:eastAsia="Times New Roman" w:hAnsi="Times New Roman" w:cs="Times New Roman"/>
          <w:sz w:val="28"/>
          <w:szCs w:val="28"/>
        </w:rPr>
        <w:t xml:space="preserve">ін </w:t>
      </w:r>
      <w:r w:rsidRPr="007122BF">
        <w:rPr>
          <w:rFonts w:ascii="Times New Roman" w:eastAsia="Times New Roman" w:hAnsi="Times New Roman" w:cs="Times New Roman"/>
          <w:sz w:val="28"/>
          <w:szCs w:val="28"/>
        </w:rPr>
        <w:t xml:space="preserve">до </w:t>
      </w:r>
      <w:r w:rsidR="006A01C0" w:rsidRPr="006A01C0">
        <w:rPr>
          <w:rFonts w:ascii="Times New Roman" w:eastAsia="Times New Roman" w:hAnsi="Times New Roman" w:cs="Times New Roman"/>
          <w:sz w:val="28"/>
          <w:szCs w:val="28"/>
        </w:rPr>
        <w:t>Положення про здійснення контролю якості банкнот, що перебувають в обігу, за участю уповноважених банків</w:t>
      </w:r>
      <w:r w:rsidRPr="007122BF">
        <w:rPr>
          <w:rFonts w:ascii="Times New Roman" w:eastAsia="Times New Roman" w:hAnsi="Times New Roman" w:cs="Times New Roman"/>
          <w:sz w:val="28"/>
          <w:szCs w:val="28"/>
        </w:rPr>
        <w:t>”</w:t>
      </w:r>
    </w:p>
    <w:tbl>
      <w:tblPr>
        <w:tblStyle w:val="a3"/>
        <w:tblW w:w="15588" w:type="dxa"/>
        <w:tblInd w:w="-147" w:type="dxa"/>
        <w:tblLayout w:type="fixed"/>
        <w:tblLook w:val="04A0" w:firstRow="1" w:lastRow="0" w:firstColumn="1" w:lastColumn="0" w:noHBand="0" w:noVBand="1"/>
      </w:tblPr>
      <w:tblGrid>
        <w:gridCol w:w="7792"/>
        <w:gridCol w:w="7796"/>
      </w:tblGrid>
      <w:tr w:rsidR="00D42364" w:rsidRPr="007122BF" w14:paraId="1BF092A5" w14:textId="77777777" w:rsidTr="00207F33">
        <w:trPr>
          <w:tblHeader/>
        </w:trPr>
        <w:tc>
          <w:tcPr>
            <w:tcW w:w="7792" w:type="dxa"/>
            <w:tcBorders>
              <w:top w:val="single" w:sz="4" w:space="0" w:color="auto"/>
            </w:tcBorders>
          </w:tcPr>
          <w:p w14:paraId="1E3D6526" w14:textId="1EA5E229" w:rsidR="00D42364" w:rsidRPr="007122BF" w:rsidRDefault="00D42364" w:rsidP="002B77A5">
            <w:pPr>
              <w:jc w:val="center"/>
              <w:rPr>
                <w:rFonts w:ascii="Times New Roman" w:hAnsi="Times New Roman" w:cs="Times New Roman"/>
                <w:sz w:val="28"/>
                <w:szCs w:val="28"/>
              </w:rPr>
            </w:pPr>
            <w:r w:rsidRPr="007122BF">
              <w:rPr>
                <w:rFonts w:ascii="Times New Roman" w:hAnsi="Times New Roman" w:cs="Times New Roman"/>
                <w:b/>
                <w:sz w:val="28"/>
                <w:szCs w:val="28"/>
              </w:rPr>
              <w:t>Зміст положення (норми) чинного нормативно-правового акта</w:t>
            </w:r>
          </w:p>
        </w:tc>
        <w:tc>
          <w:tcPr>
            <w:tcW w:w="7796" w:type="dxa"/>
            <w:tcBorders>
              <w:top w:val="single" w:sz="4" w:space="0" w:color="auto"/>
            </w:tcBorders>
          </w:tcPr>
          <w:p w14:paraId="345E2CFC" w14:textId="77777777" w:rsidR="00D42364" w:rsidRPr="007122BF" w:rsidRDefault="00D42364" w:rsidP="0052012D">
            <w:pPr>
              <w:ind w:left="-104" w:firstLine="104"/>
              <w:jc w:val="center"/>
              <w:rPr>
                <w:rFonts w:ascii="Times New Roman" w:hAnsi="Times New Roman" w:cs="Times New Roman"/>
                <w:b/>
                <w:bCs/>
                <w:spacing w:val="-2"/>
                <w:sz w:val="28"/>
                <w:szCs w:val="28"/>
              </w:rPr>
            </w:pPr>
            <w:r w:rsidRPr="007122BF">
              <w:rPr>
                <w:rFonts w:ascii="Times New Roman" w:hAnsi="Times New Roman" w:cs="Times New Roman"/>
                <w:b/>
                <w:sz w:val="28"/>
                <w:szCs w:val="28"/>
              </w:rPr>
              <w:t>Зміст відповідного положення (норми) проєкту нормативно-правового акта</w:t>
            </w:r>
          </w:p>
        </w:tc>
      </w:tr>
      <w:tr w:rsidR="00D42364" w:rsidRPr="007122BF" w14:paraId="417A605C" w14:textId="77777777" w:rsidTr="00207F33">
        <w:tc>
          <w:tcPr>
            <w:tcW w:w="7792" w:type="dxa"/>
          </w:tcPr>
          <w:p w14:paraId="77368846" w14:textId="77777777" w:rsidR="00D42364" w:rsidRPr="00FA0568" w:rsidRDefault="00D42364" w:rsidP="0052012D">
            <w:pPr>
              <w:jc w:val="center"/>
              <w:rPr>
                <w:rFonts w:ascii="Times New Roman" w:hAnsi="Times New Roman" w:cs="Times New Roman"/>
                <w:sz w:val="28"/>
                <w:szCs w:val="28"/>
              </w:rPr>
            </w:pPr>
            <w:r w:rsidRPr="00FA0568">
              <w:rPr>
                <w:rFonts w:ascii="Times New Roman" w:hAnsi="Times New Roman" w:cs="Times New Roman"/>
                <w:sz w:val="28"/>
                <w:szCs w:val="28"/>
              </w:rPr>
              <w:t>1</w:t>
            </w:r>
          </w:p>
        </w:tc>
        <w:tc>
          <w:tcPr>
            <w:tcW w:w="7796" w:type="dxa"/>
          </w:tcPr>
          <w:p w14:paraId="0216D873" w14:textId="77777777" w:rsidR="00D42364" w:rsidRPr="007122BF" w:rsidRDefault="00D42364" w:rsidP="0052012D">
            <w:pPr>
              <w:ind w:left="-104" w:firstLine="104"/>
              <w:jc w:val="center"/>
              <w:rPr>
                <w:rFonts w:ascii="Times New Roman" w:hAnsi="Times New Roman" w:cs="Times New Roman"/>
                <w:sz w:val="28"/>
                <w:szCs w:val="28"/>
              </w:rPr>
            </w:pPr>
            <w:r w:rsidRPr="007122BF">
              <w:rPr>
                <w:rFonts w:ascii="Times New Roman" w:hAnsi="Times New Roman" w:cs="Times New Roman"/>
                <w:sz w:val="28"/>
                <w:szCs w:val="28"/>
              </w:rPr>
              <w:t>2</w:t>
            </w:r>
          </w:p>
        </w:tc>
      </w:tr>
      <w:tr w:rsidR="00F7371E" w:rsidRPr="007122BF" w14:paraId="7AA2DB73" w14:textId="77777777" w:rsidTr="00207F33">
        <w:tc>
          <w:tcPr>
            <w:tcW w:w="7792" w:type="dxa"/>
          </w:tcPr>
          <w:p w14:paraId="70A86C48" w14:textId="77777777" w:rsidR="00D044E7" w:rsidRDefault="00F7371E" w:rsidP="00D044E7">
            <w:pPr>
              <w:pStyle w:val="a4"/>
              <w:spacing w:before="0" w:beforeAutospacing="0" w:after="0" w:afterAutospacing="0"/>
              <w:jc w:val="both"/>
            </w:pPr>
            <w:r>
              <w:rPr>
                <w:color w:val="000000"/>
              </w:rPr>
              <w:t>2</w:t>
            </w:r>
            <w:r w:rsidR="00D044E7">
              <w:rPr>
                <w:color w:val="000000"/>
              </w:rPr>
              <w:t>. </w:t>
            </w:r>
            <w:r w:rsidR="00D044E7">
              <w:t>Термін “банкноти для здійснення контролю їх якості” у цьому Положенні вживається в такому значенні:</w:t>
            </w:r>
          </w:p>
          <w:p w14:paraId="6097CFBE" w14:textId="21D7C225" w:rsidR="00F7371E" w:rsidRPr="00601165" w:rsidRDefault="00D044E7" w:rsidP="00AE4C30">
            <w:pPr>
              <w:pStyle w:val="a4"/>
              <w:spacing w:before="0" w:beforeAutospacing="0" w:after="0" w:afterAutospacing="0"/>
              <w:jc w:val="both"/>
              <w:rPr>
                <w:color w:val="000000"/>
              </w:rPr>
            </w:pPr>
            <w:r>
              <w:t xml:space="preserve">    банкноти для здійснення контролю їх якості – невідсортовані банкноти гривні одного номіналу та зразка, які попередньо не сортувалися на придатні до обігу та зношені, </w:t>
            </w:r>
            <w:r w:rsidRPr="0096701C">
              <w:rPr>
                <w:strike/>
              </w:rPr>
              <w:t>за винятком значно зношених банкнот,</w:t>
            </w:r>
            <w:r>
              <w:t xml:space="preserve"> які перебували в обігу й сформовані уповноваженими банками та їх відокремленими підрозділами з надходжень торговельної виручки, виручки від усіх видів послуг, з використанням платіжних карток. </w:t>
            </w:r>
          </w:p>
        </w:tc>
        <w:tc>
          <w:tcPr>
            <w:tcW w:w="7796" w:type="dxa"/>
          </w:tcPr>
          <w:p w14:paraId="3B003C50" w14:textId="77777777" w:rsidR="00D044E7" w:rsidRDefault="00F7371E" w:rsidP="00D044E7">
            <w:pPr>
              <w:pStyle w:val="a4"/>
              <w:spacing w:before="0" w:beforeAutospacing="0" w:after="0" w:afterAutospacing="0"/>
              <w:jc w:val="both"/>
            </w:pPr>
            <w:r>
              <w:rPr>
                <w:color w:val="000000"/>
              </w:rPr>
              <w:t>2</w:t>
            </w:r>
            <w:r w:rsidR="00D044E7">
              <w:rPr>
                <w:color w:val="000000"/>
              </w:rPr>
              <w:t>. </w:t>
            </w:r>
            <w:r w:rsidR="00D044E7">
              <w:t xml:space="preserve">Термін “банкноти для здійснення контролю їх якості” у цьому Положенні вживається в такому значенні: </w:t>
            </w:r>
          </w:p>
          <w:p w14:paraId="3B099B98" w14:textId="2755A4E0" w:rsidR="00F7371E" w:rsidRPr="00AE4C30" w:rsidRDefault="00D044E7" w:rsidP="00D044E7">
            <w:pPr>
              <w:pStyle w:val="a4"/>
              <w:spacing w:before="0" w:beforeAutospacing="0" w:after="0" w:afterAutospacing="0"/>
              <w:jc w:val="both"/>
            </w:pPr>
            <w:r>
              <w:t xml:space="preserve">     банкноти для здійснення контролю їх якості – невідсортовані банкноти гривні одного номіналу та зразка, які попередньо не сортувалися на придатні до обігу та зношені, які перебували в обігу й сформовані уповноваженими банками та їх відокремленими підрозділами з надходжень торговельної виручки, виручки від усіх видів послуг, з використанням платіжних карток. </w:t>
            </w:r>
          </w:p>
        </w:tc>
      </w:tr>
      <w:tr w:rsidR="00F7371E" w:rsidRPr="007122BF" w14:paraId="07F37DEE" w14:textId="77777777" w:rsidTr="00207F33">
        <w:tc>
          <w:tcPr>
            <w:tcW w:w="7792" w:type="dxa"/>
          </w:tcPr>
          <w:p w14:paraId="246F433C" w14:textId="77777777" w:rsidR="00D044E7" w:rsidRPr="00C549FF" w:rsidRDefault="00D044E7" w:rsidP="00D044E7">
            <w:pPr>
              <w:pStyle w:val="a4"/>
              <w:spacing w:before="0" w:beforeAutospacing="0" w:after="0" w:afterAutospacing="0"/>
              <w:jc w:val="both"/>
            </w:pPr>
            <w:r w:rsidRPr="00C549FF">
              <w:t xml:space="preserve">4. Національний банк забезпечує: </w:t>
            </w:r>
          </w:p>
          <w:p w14:paraId="358A2E0C" w14:textId="77777777" w:rsidR="00D044E7" w:rsidRPr="00C549FF" w:rsidRDefault="00D044E7" w:rsidP="00D044E7">
            <w:pPr>
              <w:pStyle w:val="a4"/>
              <w:spacing w:before="0" w:beforeAutospacing="0" w:after="0" w:afterAutospacing="0"/>
              <w:jc w:val="both"/>
            </w:pPr>
          </w:p>
          <w:p w14:paraId="25F2305B" w14:textId="439DDA86" w:rsidR="00F7371E" w:rsidRPr="0096701C" w:rsidRDefault="00D044E7" w:rsidP="00D044E7">
            <w:pPr>
              <w:pStyle w:val="a4"/>
              <w:spacing w:before="0" w:beforeAutospacing="0" w:after="0" w:afterAutospacing="0"/>
              <w:jc w:val="both"/>
            </w:pPr>
            <w:r w:rsidRPr="0096701C">
              <w:t xml:space="preserve">1) </w:t>
            </w:r>
            <w:r w:rsidRPr="0096701C">
              <w:rPr>
                <w:strike/>
              </w:rPr>
              <w:t>приймання банкнот для здійснення контролю їх якості із запасів готівки на зберіганні згідно з наданим Національним банком дозволом відповідно до вимог, установлених Національним банком;</w:t>
            </w:r>
            <w:r w:rsidRPr="0096701C">
              <w:t xml:space="preserve"> </w:t>
            </w:r>
          </w:p>
          <w:p w14:paraId="6F6F883D" w14:textId="4BAB11F7" w:rsidR="00C549FF" w:rsidRPr="0096701C" w:rsidRDefault="00C549FF" w:rsidP="00C549FF">
            <w:pPr>
              <w:pStyle w:val="Default"/>
            </w:pPr>
          </w:p>
          <w:p w14:paraId="7CDD2098" w14:textId="7ADDBC3C" w:rsidR="00C549FF" w:rsidRDefault="00C549FF" w:rsidP="00C549FF">
            <w:pPr>
              <w:pStyle w:val="Default"/>
            </w:pPr>
          </w:p>
          <w:p w14:paraId="278B4F52" w14:textId="01C0F808" w:rsidR="00C549FF" w:rsidRDefault="00C549FF" w:rsidP="00C549FF">
            <w:pPr>
              <w:pStyle w:val="Default"/>
            </w:pPr>
          </w:p>
          <w:p w14:paraId="62F7ED39" w14:textId="529BAD6C" w:rsidR="00C549FF" w:rsidRDefault="00C549FF" w:rsidP="00C549FF">
            <w:pPr>
              <w:pStyle w:val="Default"/>
            </w:pPr>
          </w:p>
          <w:p w14:paraId="3958D915" w14:textId="1B1E5286" w:rsidR="00C549FF" w:rsidRDefault="00C549FF" w:rsidP="00C549FF">
            <w:pPr>
              <w:pStyle w:val="Default"/>
            </w:pPr>
          </w:p>
          <w:p w14:paraId="755097B2" w14:textId="7A39ABE7" w:rsidR="00C549FF" w:rsidRPr="00C549FF" w:rsidRDefault="00572AD0" w:rsidP="00C549FF">
            <w:pPr>
              <w:pStyle w:val="Default"/>
            </w:pPr>
            <w:r>
              <w:t>……………………..</w:t>
            </w:r>
          </w:p>
          <w:p w14:paraId="04A4DF41" w14:textId="19FD0246" w:rsidR="00C549FF" w:rsidRPr="0096701C" w:rsidRDefault="00C549FF" w:rsidP="00C549FF">
            <w:pPr>
              <w:pStyle w:val="a4"/>
              <w:spacing w:before="0" w:beforeAutospacing="0" w:after="0" w:afterAutospacing="0"/>
              <w:jc w:val="both"/>
              <w:rPr>
                <w:strike/>
                <w:color w:val="000000"/>
              </w:rPr>
            </w:pPr>
            <w:r w:rsidRPr="0096701C">
              <w:rPr>
                <w:strike/>
              </w:rPr>
              <w:t>5) інформування уповноважених банків засобами захищеного зв’язку щодо результатів проведеного контролю.</w:t>
            </w:r>
          </w:p>
        </w:tc>
        <w:tc>
          <w:tcPr>
            <w:tcW w:w="7796" w:type="dxa"/>
          </w:tcPr>
          <w:p w14:paraId="7DF635D0" w14:textId="1191C6B5" w:rsidR="00D044E7" w:rsidRPr="00C549FF" w:rsidRDefault="00D044E7" w:rsidP="00D044E7">
            <w:pPr>
              <w:pStyle w:val="a4"/>
              <w:spacing w:before="0" w:beforeAutospacing="0" w:after="0" w:afterAutospacing="0"/>
              <w:jc w:val="both"/>
            </w:pPr>
            <w:r w:rsidRPr="00C549FF">
              <w:t xml:space="preserve">4. Національний банк забезпечує: </w:t>
            </w:r>
          </w:p>
          <w:p w14:paraId="2080B671" w14:textId="4539DD20" w:rsidR="00D044E7" w:rsidRPr="00C549FF" w:rsidRDefault="00D044E7" w:rsidP="00D044E7">
            <w:pPr>
              <w:pStyle w:val="a4"/>
              <w:spacing w:before="0" w:beforeAutospacing="0" w:after="0" w:afterAutospacing="0"/>
              <w:jc w:val="both"/>
            </w:pPr>
          </w:p>
          <w:p w14:paraId="4A800519" w14:textId="19043971" w:rsidR="00F7371E" w:rsidRPr="00C549FF" w:rsidRDefault="009F6248" w:rsidP="00417354">
            <w:pPr>
              <w:pStyle w:val="a4"/>
              <w:spacing w:before="0" w:beforeAutospacing="0" w:after="0" w:afterAutospacing="0"/>
              <w:jc w:val="both"/>
              <w:rPr>
                <w:b/>
                <w:lang w:eastAsia="en-US"/>
              </w:rPr>
            </w:pPr>
            <w:r w:rsidRPr="00C549FF">
              <w:rPr>
                <w:b/>
              </w:rPr>
              <w:t>1) </w:t>
            </w:r>
            <w:r w:rsidR="0008115A" w:rsidRPr="00C549FF">
              <w:rPr>
                <w:b/>
                <w:lang w:eastAsia="en-US"/>
              </w:rPr>
              <w:t xml:space="preserve">приймання </w:t>
            </w:r>
            <w:r w:rsidR="0008115A" w:rsidRPr="00C549FF">
              <w:rPr>
                <w:b/>
              </w:rPr>
              <w:t xml:space="preserve">банкнот для здійснення контролю їх якості щорічно протягом першого та третього кварталів, із запасів </w:t>
            </w:r>
            <w:r w:rsidR="0008115A" w:rsidRPr="00C549FF">
              <w:rPr>
                <w:b/>
                <w:lang w:eastAsia="en-US"/>
              </w:rPr>
              <w:t>готівки на зберіганні згідно з наданим Національним банком дозволом відповідно до вимог</w:t>
            </w:r>
            <w:r w:rsidR="00C549FF" w:rsidRPr="00C549FF">
              <w:rPr>
                <w:b/>
                <w:lang w:eastAsia="en-US"/>
              </w:rPr>
              <w:t xml:space="preserve"> </w:t>
            </w:r>
            <w:r w:rsidR="00C549FF" w:rsidRPr="00C549FF">
              <w:rPr>
                <w:lang w:eastAsia="en-US"/>
              </w:rPr>
              <w:t>Положення про передавання запасів готівки на зберігання до уповноважених банків та проведення операцій з ними, затвердженого постановою Правління Національного банку України від 17 вересня 2021 року №95 (зі змінами) (далі – Положення № 95)</w:t>
            </w:r>
            <w:r w:rsidRPr="00C549FF">
              <w:rPr>
                <w:b/>
                <w:lang w:eastAsia="en-US"/>
              </w:rPr>
              <w:t>;</w:t>
            </w:r>
          </w:p>
          <w:p w14:paraId="78D26DB3" w14:textId="77777777" w:rsidR="00C549FF" w:rsidRPr="00C549FF" w:rsidRDefault="00C549FF" w:rsidP="00C549FF">
            <w:pPr>
              <w:pStyle w:val="Default"/>
            </w:pPr>
          </w:p>
          <w:p w14:paraId="1E515DB4" w14:textId="77777777" w:rsidR="00C549FF" w:rsidRPr="00C549FF" w:rsidRDefault="00C549FF" w:rsidP="00C549FF">
            <w:pPr>
              <w:pStyle w:val="a4"/>
              <w:spacing w:before="0" w:beforeAutospacing="0" w:after="0" w:afterAutospacing="0"/>
              <w:jc w:val="both"/>
            </w:pPr>
          </w:p>
          <w:p w14:paraId="4415809A" w14:textId="68C39BED" w:rsidR="00C549FF" w:rsidRPr="00C549FF" w:rsidRDefault="00C549FF" w:rsidP="00C549FF">
            <w:pPr>
              <w:pStyle w:val="a4"/>
              <w:spacing w:before="0" w:beforeAutospacing="0" w:after="0" w:afterAutospacing="0"/>
              <w:jc w:val="both"/>
              <w:rPr>
                <w:b/>
                <w:color w:val="000000"/>
                <w:vertAlign w:val="subscript"/>
              </w:rPr>
            </w:pPr>
            <w:r w:rsidRPr="00C549FF">
              <w:rPr>
                <w:b/>
              </w:rPr>
              <w:t>5) інформування уповноважених банків через систему електронного документообігу АСКОД (далі – СЕД АСКОД) щодо погодження орієнтовних графіків здавання банкнот для здійснення контролю їх якості в розрізі місяців та обсягів та результатів проведеного контролю.</w:t>
            </w:r>
          </w:p>
        </w:tc>
      </w:tr>
      <w:tr w:rsidR="00F7371E" w:rsidRPr="007122BF" w14:paraId="7CEC7EF1" w14:textId="77777777" w:rsidTr="00207F33">
        <w:tc>
          <w:tcPr>
            <w:tcW w:w="7792" w:type="dxa"/>
          </w:tcPr>
          <w:p w14:paraId="392BA103" w14:textId="77777777" w:rsidR="00E1459A" w:rsidRDefault="00E1459A" w:rsidP="00F7371E">
            <w:pPr>
              <w:pStyle w:val="a4"/>
              <w:spacing w:before="0" w:beforeAutospacing="0" w:after="0" w:afterAutospacing="0"/>
              <w:jc w:val="both"/>
            </w:pPr>
            <w:r>
              <w:t xml:space="preserve">6. Уповноважений банк зобов’язаний відповідно до вимог цього Положення забезпечити: </w:t>
            </w:r>
          </w:p>
          <w:p w14:paraId="7BBBB39A" w14:textId="77777777" w:rsidR="00E1459A" w:rsidRDefault="00E1459A" w:rsidP="00F7371E">
            <w:pPr>
              <w:pStyle w:val="a4"/>
              <w:spacing w:before="0" w:beforeAutospacing="0" w:after="0" w:afterAutospacing="0"/>
              <w:jc w:val="both"/>
            </w:pPr>
          </w:p>
          <w:p w14:paraId="36FF4E30" w14:textId="77777777" w:rsidR="00E1459A" w:rsidRPr="0096701C" w:rsidRDefault="00E1459A" w:rsidP="00F7371E">
            <w:pPr>
              <w:pStyle w:val="a4"/>
              <w:spacing w:before="0" w:beforeAutospacing="0" w:after="0" w:afterAutospacing="0"/>
              <w:jc w:val="both"/>
              <w:rPr>
                <w:strike/>
              </w:rPr>
            </w:pPr>
            <w:r w:rsidRPr="0096701C">
              <w:lastRenderedPageBreak/>
              <w:t xml:space="preserve">1) </w:t>
            </w:r>
            <w:r w:rsidRPr="0096701C">
              <w:rPr>
                <w:strike/>
              </w:rPr>
              <w:t>розроблення графіка здавання банкнот для здійснення контролю їх якості в розрізі місяців та обсягів (кількість, сума). Розроблений графік надсилається засобами захищеного зв’язку на погодження до Національного банку протягом трьох робочих днів із дня отримання повідомлення засобами захищеного зв’язку щодо квартальних обсягів надходжень банкнот для здійснення контролю їх якості до Національного банку;</w:t>
            </w:r>
          </w:p>
          <w:p w14:paraId="06841934" w14:textId="498962CE" w:rsidR="00572AD0" w:rsidRDefault="00572AD0" w:rsidP="00A62BFC">
            <w:pPr>
              <w:pStyle w:val="a4"/>
              <w:spacing w:before="0" w:beforeAutospacing="0" w:after="0" w:afterAutospacing="0"/>
              <w:jc w:val="both"/>
              <w:rPr>
                <w:color w:val="000000"/>
              </w:rPr>
            </w:pPr>
            <w:r>
              <w:rPr>
                <w:color w:val="000000"/>
              </w:rPr>
              <w:t>…………………………</w:t>
            </w:r>
          </w:p>
          <w:p w14:paraId="7408E95B" w14:textId="582C9C57" w:rsidR="00F7371E" w:rsidRDefault="00B160A8" w:rsidP="00A62BFC">
            <w:pPr>
              <w:pStyle w:val="a4"/>
              <w:spacing w:before="0" w:beforeAutospacing="0" w:after="0" w:afterAutospacing="0"/>
              <w:jc w:val="both"/>
            </w:pPr>
            <w:r>
              <w:rPr>
                <w:color w:val="000000"/>
              </w:rPr>
              <w:t>3</w:t>
            </w:r>
            <w:r w:rsidR="00F7371E" w:rsidRPr="000C49CF">
              <w:rPr>
                <w:color w:val="000000"/>
              </w:rPr>
              <w:t xml:space="preserve">) </w:t>
            </w:r>
            <w:r>
              <w:t xml:space="preserve">вивезення банкнот для здійснення контролю їх якості із запасів готівки на зберіганні до Національного банку згідно з наданим Національним банком дозволом </w:t>
            </w:r>
            <w:r w:rsidRPr="0096701C">
              <w:rPr>
                <w:strike/>
              </w:rPr>
              <w:t>із дотриманням графіка здавання банкнот</w:t>
            </w:r>
            <w:r w:rsidRPr="00567C16">
              <w:t xml:space="preserve"> </w:t>
            </w:r>
            <w:r>
              <w:t>для здійснення контролю їх якості.</w:t>
            </w:r>
          </w:p>
          <w:p w14:paraId="7055BDA7" w14:textId="77777777" w:rsidR="00572AD0" w:rsidRDefault="00572AD0" w:rsidP="00A62BFC">
            <w:pPr>
              <w:pStyle w:val="a4"/>
              <w:spacing w:before="0" w:beforeAutospacing="0" w:after="0" w:afterAutospacing="0"/>
              <w:jc w:val="both"/>
            </w:pPr>
          </w:p>
          <w:p w14:paraId="2812F530" w14:textId="0B4FDA0F" w:rsidR="00572AD0" w:rsidRPr="009A76DA" w:rsidRDefault="00572AD0" w:rsidP="00A62BFC">
            <w:pPr>
              <w:pStyle w:val="a4"/>
              <w:spacing w:before="0" w:beforeAutospacing="0" w:after="0" w:afterAutospacing="0"/>
              <w:jc w:val="both"/>
            </w:pPr>
            <w:r>
              <w:t>Норма відсутня</w:t>
            </w:r>
          </w:p>
        </w:tc>
        <w:tc>
          <w:tcPr>
            <w:tcW w:w="7796" w:type="dxa"/>
          </w:tcPr>
          <w:p w14:paraId="1F6092CB" w14:textId="77777777" w:rsidR="00E1459A" w:rsidRDefault="00E1459A" w:rsidP="00E1459A">
            <w:pPr>
              <w:pStyle w:val="a4"/>
              <w:spacing w:before="0" w:beforeAutospacing="0" w:after="0" w:afterAutospacing="0"/>
              <w:jc w:val="both"/>
            </w:pPr>
            <w:r>
              <w:lastRenderedPageBreak/>
              <w:t xml:space="preserve">6. Уповноважений банк зобов’язаний відповідно до вимог цього Положення забезпечити: </w:t>
            </w:r>
          </w:p>
          <w:p w14:paraId="15650CB6" w14:textId="77777777" w:rsidR="00F7371E" w:rsidRDefault="00F7371E" w:rsidP="00F7371E">
            <w:pPr>
              <w:pStyle w:val="a4"/>
              <w:spacing w:before="0" w:beforeAutospacing="0" w:after="0" w:afterAutospacing="0"/>
              <w:jc w:val="both"/>
              <w:rPr>
                <w:color w:val="000000"/>
              </w:rPr>
            </w:pPr>
          </w:p>
          <w:p w14:paraId="47BAEBAB" w14:textId="225FAB13" w:rsidR="00F7371E" w:rsidRPr="00417354" w:rsidRDefault="00F7371E" w:rsidP="00F7371E">
            <w:pPr>
              <w:pStyle w:val="a4"/>
              <w:spacing w:before="0" w:beforeAutospacing="0" w:after="0" w:afterAutospacing="0"/>
              <w:jc w:val="both"/>
              <w:rPr>
                <w:b/>
              </w:rPr>
            </w:pPr>
            <w:r w:rsidRPr="00417354">
              <w:rPr>
                <w:b/>
                <w:color w:val="000000"/>
              </w:rPr>
              <w:lastRenderedPageBreak/>
              <w:t xml:space="preserve">1) </w:t>
            </w:r>
            <w:r w:rsidR="00052007" w:rsidRPr="00417354">
              <w:rPr>
                <w:b/>
              </w:rPr>
              <w:t xml:space="preserve">розроблення орієнтовного графіка здавання банкнот для здійснення контролю їх якості в розрізі місяців та обсягів (кількість, сума). Розроблений </w:t>
            </w:r>
            <w:r w:rsidR="00417354" w:rsidRPr="00417354">
              <w:rPr>
                <w:b/>
              </w:rPr>
              <w:t>орієнтовний графік надсилається</w:t>
            </w:r>
            <w:r w:rsidR="00417354" w:rsidRPr="00AE1E55">
              <w:rPr>
                <w:b/>
                <w:lang w:val="ru-RU"/>
              </w:rPr>
              <w:t xml:space="preserve"> </w:t>
            </w:r>
            <w:r w:rsidR="00417354" w:rsidRPr="00417354">
              <w:rPr>
                <w:b/>
              </w:rPr>
              <w:t xml:space="preserve">Національному </w:t>
            </w:r>
            <w:r w:rsidR="00417354" w:rsidRPr="002E5304">
              <w:rPr>
                <w:b/>
              </w:rPr>
              <w:t>банку</w:t>
            </w:r>
            <w:r w:rsidR="00052007" w:rsidRPr="002E5304">
              <w:rPr>
                <w:b/>
              </w:rPr>
              <w:t xml:space="preserve"> </w:t>
            </w:r>
            <w:r w:rsidR="002E5304" w:rsidRPr="002E5304">
              <w:rPr>
                <w:b/>
              </w:rPr>
              <w:t>через СЕД АСКОД</w:t>
            </w:r>
            <w:r w:rsidR="00052007" w:rsidRPr="00417354">
              <w:rPr>
                <w:b/>
              </w:rPr>
              <w:t xml:space="preserve"> на погодження протягом трьох робочих днів з дня отримання відповідного запиту</w:t>
            </w:r>
            <w:r w:rsidR="00E1459A" w:rsidRPr="00417354">
              <w:rPr>
                <w:b/>
              </w:rPr>
              <w:t>;</w:t>
            </w:r>
          </w:p>
          <w:p w14:paraId="691A67DA" w14:textId="4C85C1D8" w:rsidR="00E1459A" w:rsidRDefault="00E1459A" w:rsidP="00F7371E">
            <w:pPr>
              <w:pStyle w:val="a4"/>
              <w:spacing w:before="0" w:beforeAutospacing="0" w:after="0" w:afterAutospacing="0"/>
              <w:jc w:val="both"/>
              <w:rPr>
                <w:color w:val="000000"/>
              </w:rPr>
            </w:pPr>
          </w:p>
          <w:p w14:paraId="426A5B14" w14:textId="3F91AAEC" w:rsidR="00052007" w:rsidRDefault="00052007" w:rsidP="00F7371E">
            <w:pPr>
              <w:pStyle w:val="a4"/>
              <w:spacing w:before="0" w:beforeAutospacing="0" w:after="0" w:afterAutospacing="0"/>
              <w:jc w:val="both"/>
              <w:rPr>
                <w:color w:val="000000"/>
              </w:rPr>
            </w:pPr>
          </w:p>
          <w:p w14:paraId="5256E3D8" w14:textId="78793408" w:rsidR="00572AD0" w:rsidRDefault="00572AD0" w:rsidP="00F7371E">
            <w:pPr>
              <w:pStyle w:val="a4"/>
              <w:spacing w:before="0" w:beforeAutospacing="0" w:after="0" w:afterAutospacing="0"/>
              <w:jc w:val="both"/>
              <w:rPr>
                <w:color w:val="000000"/>
              </w:rPr>
            </w:pPr>
            <w:r>
              <w:rPr>
                <w:color w:val="000000"/>
              </w:rPr>
              <w:t>………………………………</w:t>
            </w:r>
          </w:p>
          <w:p w14:paraId="014DF762" w14:textId="7C3C5952" w:rsidR="00F7371E" w:rsidRDefault="00B160A8" w:rsidP="002E5304">
            <w:pPr>
              <w:pStyle w:val="a4"/>
              <w:spacing w:before="0" w:beforeAutospacing="0" w:after="0" w:afterAutospacing="0"/>
              <w:jc w:val="both"/>
            </w:pPr>
            <w:r>
              <w:rPr>
                <w:color w:val="000000"/>
              </w:rPr>
              <w:t>3</w:t>
            </w:r>
            <w:r w:rsidR="00F7371E" w:rsidRPr="000C49CF">
              <w:rPr>
                <w:color w:val="000000"/>
              </w:rPr>
              <w:t xml:space="preserve">) </w:t>
            </w:r>
            <w:r>
              <w:t>вивезення банкнот для здійснення контролю їх якості із запасів готівки на зберіганні до Національно</w:t>
            </w:r>
            <w:bookmarkStart w:id="0" w:name="_GoBack"/>
            <w:bookmarkEnd w:id="0"/>
            <w:r>
              <w:t xml:space="preserve">го банку згідно з наданим Національним банком </w:t>
            </w:r>
            <w:r w:rsidRPr="00567C16">
              <w:t xml:space="preserve">дозволом </w:t>
            </w:r>
            <w:r w:rsidR="0017593D" w:rsidRPr="00417354">
              <w:rPr>
                <w:b/>
                <w:lang w:eastAsia="en-US"/>
              </w:rPr>
              <w:t>відповідно до вимог</w:t>
            </w:r>
            <w:r w:rsidR="00417354" w:rsidRPr="00417354">
              <w:rPr>
                <w:b/>
                <w:lang w:eastAsia="en-US"/>
              </w:rPr>
              <w:t xml:space="preserve"> Положення №95</w:t>
            </w:r>
            <w:r w:rsidR="0017593D" w:rsidRPr="00567C16">
              <w:rPr>
                <w:lang w:eastAsia="en-US"/>
              </w:rPr>
              <w:t>,</w:t>
            </w:r>
            <w:r w:rsidR="0017593D" w:rsidRPr="00567C16">
              <w:t xml:space="preserve"> </w:t>
            </w:r>
            <w:r w:rsidRPr="00567C16">
              <w:t>для здійснення контролю їх якості</w:t>
            </w:r>
            <w:r w:rsidR="002E5304">
              <w:t>;</w:t>
            </w:r>
          </w:p>
          <w:p w14:paraId="311D4D03" w14:textId="77777777" w:rsidR="002E5304" w:rsidRDefault="002E5304" w:rsidP="002E5304">
            <w:pPr>
              <w:pStyle w:val="a4"/>
              <w:spacing w:before="0" w:beforeAutospacing="0" w:after="0" w:afterAutospacing="0"/>
              <w:jc w:val="both"/>
            </w:pPr>
          </w:p>
          <w:p w14:paraId="44549BDE" w14:textId="76201C8A" w:rsidR="002E5304" w:rsidRPr="00F84136" w:rsidRDefault="002E5304" w:rsidP="002E5304">
            <w:pPr>
              <w:pStyle w:val="a4"/>
              <w:spacing w:before="0" w:beforeAutospacing="0" w:after="0" w:afterAutospacing="0"/>
              <w:jc w:val="both"/>
              <w:rPr>
                <w:color w:val="000000"/>
              </w:rPr>
            </w:pPr>
            <w:r>
              <w:t xml:space="preserve">4) </w:t>
            </w:r>
            <w:r w:rsidRPr="00586EBE">
              <w:t>залуч</w:t>
            </w:r>
            <w:r>
              <w:t>ення</w:t>
            </w:r>
            <w:r w:rsidRPr="00586EBE">
              <w:t xml:space="preserve"> </w:t>
            </w:r>
            <w:r>
              <w:t xml:space="preserve">своїх </w:t>
            </w:r>
            <w:r w:rsidRPr="00586EBE">
              <w:t>відокремлен</w:t>
            </w:r>
            <w:r>
              <w:t>их</w:t>
            </w:r>
            <w:r w:rsidRPr="00586EBE">
              <w:t xml:space="preserve"> підрозділ</w:t>
            </w:r>
            <w:r>
              <w:t>ів</w:t>
            </w:r>
            <w:r w:rsidRPr="00586EBE">
              <w:t xml:space="preserve"> до здійснення контролю якості банкнот, що перебувають в обігу</w:t>
            </w:r>
            <w:r>
              <w:t>.</w:t>
            </w:r>
          </w:p>
        </w:tc>
      </w:tr>
      <w:tr w:rsidR="00F7371E" w:rsidRPr="007122BF" w14:paraId="45645F82" w14:textId="77777777" w:rsidTr="00207F33">
        <w:tc>
          <w:tcPr>
            <w:tcW w:w="7792" w:type="dxa"/>
          </w:tcPr>
          <w:p w14:paraId="42F8A3BA" w14:textId="6D391809" w:rsidR="00F7371E" w:rsidRDefault="002F3845" w:rsidP="002F3845">
            <w:pPr>
              <w:jc w:val="both"/>
              <w:rPr>
                <w:rFonts w:eastAsia="Times New Roman"/>
                <w:color w:val="000000"/>
              </w:rPr>
            </w:pPr>
            <w:r w:rsidRPr="002F3845">
              <w:rPr>
                <w:rFonts w:ascii="Times New Roman" w:eastAsiaTheme="minorEastAsia" w:hAnsi="Times New Roman" w:cs="Times New Roman"/>
                <w:sz w:val="24"/>
                <w:szCs w:val="24"/>
                <w:lang w:eastAsia="uk-UA"/>
              </w:rPr>
              <w:lastRenderedPageBreak/>
              <w:t>8. Уповноважений банк на виконання дозволів, наданих Національним банком на збільшення готівки до запасів готівки на зберіганні, вкладає до запасів готівки на зберіганні</w:t>
            </w:r>
            <w:r>
              <w:rPr>
                <w:rFonts w:ascii="Times New Roman" w:eastAsiaTheme="minorEastAsia" w:hAnsi="Times New Roman" w:cs="Times New Roman"/>
                <w:sz w:val="24"/>
                <w:szCs w:val="24"/>
                <w:lang w:eastAsia="uk-UA"/>
              </w:rPr>
              <w:t xml:space="preserve"> </w:t>
            </w:r>
            <w:r w:rsidRPr="002F3845">
              <w:rPr>
                <w:rFonts w:ascii="Times New Roman" w:eastAsiaTheme="minorEastAsia" w:hAnsi="Times New Roman" w:cs="Times New Roman"/>
                <w:sz w:val="24"/>
                <w:szCs w:val="24"/>
                <w:lang w:eastAsia="uk-UA"/>
              </w:rPr>
              <w:t xml:space="preserve">зі своєї операційної каси банкноти для здійснення контролю їх якості в упаковці уповноваженого банку (його відокремленого підрозділу) повними пачками без здійснення перерахування та перепакування для подальшого вивезення до Національного банку </w:t>
            </w:r>
            <w:r w:rsidRPr="0096701C">
              <w:rPr>
                <w:rFonts w:ascii="Times New Roman" w:eastAsiaTheme="minorEastAsia" w:hAnsi="Times New Roman" w:cs="Times New Roman"/>
                <w:strike/>
                <w:sz w:val="24"/>
                <w:szCs w:val="24"/>
                <w:lang w:eastAsia="uk-UA"/>
              </w:rPr>
              <w:t>із дотриманням графіка здавання банкнот</w:t>
            </w:r>
            <w:r w:rsidRPr="002F3845">
              <w:rPr>
                <w:rFonts w:ascii="Times New Roman" w:eastAsiaTheme="minorEastAsia" w:hAnsi="Times New Roman" w:cs="Times New Roman"/>
                <w:sz w:val="24"/>
                <w:szCs w:val="24"/>
                <w:lang w:eastAsia="uk-UA"/>
              </w:rPr>
              <w:t xml:space="preserve"> для здійснення контролю їх якості.</w:t>
            </w:r>
          </w:p>
        </w:tc>
        <w:tc>
          <w:tcPr>
            <w:tcW w:w="7796" w:type="dxa"/>
          </w:tcPr>
          <w:p w14:paraId="4E0B2286" w14:textId="51F2803B" w:rsidR="001224E3" w:rsidRPr="001224E3" w:rsidRDefault="0039421B" w:rsidP="001224E3">
            <w:pPr>
              <w:jc w:val="both"/>
              <w:rPr>
                <w:rFonts w:ascii="Times New Roman" w:hAnsi="Times New Roman" w:cs="Times New Roman"/>
                <w:color w:val="000000"/>
                <w:sz w:val="24"/>
                <w:szCs w:val="24"/>
              </w:rPr>
            </w:pPr>
            <w:r w:rsidRPr="002F3845">
              <w:rPr>
                <w:rFonts w:ascii="Times New Roman" w:eastAsiaTheme="minorEastAsia" w:hAnsi="Times New Roman" w:cs="Times New Roman"/>
                <w:sz w:val="24"/>
                <w:szCs w:val="24"/>
                <w:lang w:eastAsia="uk-UA"/>
              </w:rPr>
              <w:t>8. Уповноважений банк на виконання дозволів, наданих Національним банком на збільшення готівки до запасів готівки на зберіганні, вкладає до запасів готівки на зберіганні</w:t>
            </w:r>
            <w:r>
              <w:rPr>
                <w:rFonts w:ascii="Times New Roman" w:eastAsiaTheme="minorEastAsia" w:hAnsi="Times New Roman" w:cs="Times New Roman"/>
                <w:sz w:val="24"/>
                <w:szCs w:val="24"/>
                <w:lang w:eastAsia="uk-UA"/>
              </w:rPr>
              <w:t xml:space="preserve"> </w:t>
            </w:r>
            <w:r w:rsidRPr="002F3845">
              <w:rPr>
                <w:rFonts w:ascii="Times New Roman" w:eastAsiaTheme="minorEastAsia" w:hAnsi="Times New Roman" w:cs="Times New Roman"/>
                <w:sz w:val="24"/>
                <w:szCs w:val="24"/>
                <w:lang w:eastAsia="uk-UA"/>
              </w:rPr>
              <w:t>зі своєї операційної каси банкноти для здійснення контролю їх якості в упаковці уповноваженого банку (його відокремленого підрозділу) повними пачками без здійснення перерахування та перепакування для подальшого вивезення до Національного банку для здійснення контролю їх якості.</w:t>
            </w:r>
          </w:p>
          <w:p w14:paraId="57ADE62E" w14:textId="7DDD8A50" w:rsidR="001224E3" w:rsidRDefault="001224E3" w:rsidP="00233911">
            <w:pPr>
              <w:jc w:val="both"/>
              <w:rPr>
                <w:color w:val="000000"/>
              </w:rPr>
            </w:pPr>
          </w:p>
        </w:tc>
      </w:tr>
    </w:tbl>
    <w:p w14:paraId="38CAF11B" w14:textId="33EDA07F" w:rsidR="000226EE" w:rsidRDefault="000226EE">
      <w:pPr>
        <w:rPr>
          <w:rFonts w:ascii="Times New Roman" w:hAnsi="Times New Roman" w:cs="Times New Roman"/>
          <w:sz w:val="28"/>
          <w:szCs w:val="28"/>
        </w:rPr>
      </w:pPr>
    </w:p>
    <w:p w14:paraId="3E32F011" w14:textId="786C634D" w:rsidR="0015667D" w:rsidRPr="00A30A9B" w:rsidRDefault="0015667D" w:rsidP="00A30A9B">
      <w:pPr>
        <w:pStyle w:val="a6"/>
        <w:rPr>
          <w:rFonts w:ascii="Times New Roman" w:hAnsi="Times New Roman"/>
          <w:sz w:val="28"/>
          <w:szCs w:val="28"/>
        </w:rPr>
      </w:pPr>
      <w:r w:rsidRPr="00A30A9B">
        <w:rPr>
          <w:rFonts w:ascii="Times New Roman" w:hAnsi="Times New Roman"/>
          <w:sz w:val="28"/>
          <w:szCs w:val="28"/>
        </w:rPr>
        <w:t>Директор Департаменту</w:t>
      </w:r>
    </w:p>
    <w:p w14:paraId="712A6A2B" w14:textId="39556545" w:rsidR="0015667D" w:rsidRDefault="0015667D" w:rsidP="00A30A9B">
      <w:pPr>
        <w:pStyle w:val="a6"/>
        <w:rPr>
          <w:rFonts w:ascii="Times New Roman" w:hAnsi="Times New Roman"/>
          <w:sz w:val="28"/>
          <w:szCs w:val="28"/>
        </w:rPr>
      </w:pPr>
      <w:r w:rsidRPr="00A30A9B">
        <w:rPr>
          <w:rFonts w:ascii="Times New Roman" w:hAnsi="Times New Roman"/>
          <w:sz w:val="28"/>
          <w:szCs w:val="28"/>
        </w:rPr>
        <w:t>грошового обігу</w:t>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Pr="00A30A9B">
        <w:rPr>
          <w:rFonts w:ascii="Times New Roman" w:hAnsi="Times New Roman"/>
          <w:sz w:val="28"/>
          <w:szCs w:val="28"/>
        </w:rPr>
        <w:tab/>
      </w:r>
      <w:r w:rsidR="00D409F4">
        <w:rPr>
          <w:rFonts w:ascii="Times New Roman" w:hAnsi="Times New Roman"/>
          <w:sz w:val="28"/>
          <w:szCs w:val="28"/>
        </w:rPr>
        <w:t xml:space="preserve">    </w:t>
      </w:r>
      <w:r w:rsidRPr="00A30A9B">
        <w:rPr>
          <w:rFonts w:ascii="Times New Roman" w:hAnsi="Times New Roman"/>
          <w:sz w:val="28"/>
          <w:szCs w:val="28"/>
        </w:rPr>
        <w:tab/>
        <w:t>Олег ПРОХОДА</w:t>
      </w:r>
    </w:p>
    <w:p w14:paraId="63414E1A" w14:textId="740191BD" w:rsidR="0015667D" w:rsidRPr="00A30A9B" w:rsidRDefault="0015667D" w:rsidP="00A30A9B">
      <w:pPr>
        <w:pStyle w:val="a6"/>
        <w:rPr>
          <w:rFonts w:ascii="Times New Roman" w:hAnsi="Times New Roman"/>
          <w:sz w:val="28"/>
          <w:szCs w:val="28"/>
        </w:rPr>
      </w:pPr>
      <w:r>
        <w:rPr>
          <w:rFonts w:ascii="Times New Roman" w:hAnsi="Times New Roman"/>
          <w:sz w:val="28"/>
          <w:szCs w:val="28"/>
        </w:rPr>
        <w:t>«___  ____________» 202</w:t>
      </w:r>
      <w:r w:rsidR="00EA30FE">
        <w:rPr>
          <w:rFonts w:ascii="Times New Roman" w:hAnsi="Times New Roman"/>
          <w:sz w:val="28"/>
          <w:szCs w:val="28"/>
        </w:rPr>
        <w:t>6</w:t>
      </w:r>
      <w:r>
        <w:rPr>
          <w:rFonts w:ascii="Times New Roman" w:hAnsi="Times New Roman"/>
          <w:sz w:val="28"/>
          <w:szCs w:val="28"/>
        </w:rPr>
        <w:t xml:space="preserve"> рік</w:t>
      </w:r>
    </w:p>
    <w:sectPr w:rsidR="0015667D" w:rsidRPr="00A30A9B" w:rsidSect="00D42364">
      <w:headerReference w:type="default" r:id="rId8"/>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F7A2" w14:textId="77777777" w:rsidR="008B5E2E" w:rsidRDefault="008B5E2E" w:rsidP="009934E3">
      <w:pPr>
        <w:spacing w:after="0" w:line="240" w:lineRule="auto"/>
      </w:pPr>
      <w:r>
        <w:separator/>
      </w:r>
    </w:p>
  </w:endnote>
  <w:endnote w:type="continuationSeparator" w:id="0">
    <w:p w14:paraId="63C1A37F" w14:textId="77777777" w:rsidR="008B5E2E" w:rsidRDefault="008B5E2E" w:rsidP="0099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F1DB6" w14:textId="77777777" w:rsidR="008B5E2E" w:rsidRDefault="008B5E2E" w:rsidP="009934E3">
      <w:pPr>
        <w:spacing w:after="0" w:line="240" w:lineRule="auto"/>
      </w:pPr>
      <w:r>
        <w:separator/>
      </w:r>
    </w:p>
  </w:footnote>
  <w:footnote w:type="continuationSeparator" w:id="0">
    <w:p w14:paraId="65E3CAAB" w14:textId="77777777" w:rsidR="008B5E2E" w:rsidRDefault="008B5E2E" w:rsidP="0099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240866"/>
      <w:docPartObj>
        <w:docPartGallery w:val="Page Numbers (Top of Page)"/>
        <w:docPartUnique/>
      </w:docPartObj>
    </w:sdtPr>
    <w:sdtEndPr/>
    <w:sdtContent>
      <w:p w14:paraId="0DE6BA37" w14:textId="13E94015" w:rsidR="009934E3" w:rsidRDefault="009934E3">
        <w:pPr>
          <w:pStyle w:val="af1"/>
          <w:jc w:val="center"/>
        </w:pPr>
        <w:r>
          <w:fldChar w:fldCharType="begin"/>
        </w:r>
        <w:r>
          <w:instrText>PAGE   \* MERGEFORMAT</w:instrText>
        </w:r>
        <w:r>
          <w:fldChar w:fldCharType="separate"/>
        </w:r>
        <w:r w:rsidR="00827E95">
          <w:rPr>
            <w:noProof/>
          </w:rPr>
          <w:t>2</w:t>
        </w:r>
        <w:r>
          <w:fldChar w:fldCharType="end"/>
        </w:r>
      </w:p>
    </w:sdtContent>
  </w:sdt>
  <w:p w14:paraId="602686E2" w14:textId="77777777" w:rsidR="009934E3" w:rsidRDefault="009934E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F50E7"/>
    <w:multiLevelType w:val="hybridMultilevel"/>
    <w:tmpl w:val="860618C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94"/>
    <w:rsid w:val="00001DD9"/>
    <w:rsid w:val="000226EE"/>
    <w:rsid w:val="0002569A"/>
    <w:rsid w:val="0002597C"/>
    <w:rsid w:val="000277D4"/>
    <w:rsid w:val="00030BF0"/>
    <w:rsid w:val="000408D7"/>
    <w:rsid w:val="000502B2"/>
    <w:rsid w:val="00051BF0"/>
    <w:rsid w:val="00052007"/>
    <w:rsid w:val="00064807"/>
    <w:rsid w:val="0008115A"/>
    <w:rsid w:val="000813F5"/>
    <w:rsid w:val="0008579A"/>
    <w:rsid w:val="00091F01"/>
    <w:rsid w:val="000A0B3A"/>
    <w:rsid w:val="000B0CA2"/>
    <w:rsid w:val="000B140F"/>
    <w:rsid w:val="000B3515"/>
    <w:rsid w:val="000C3B43"/>
    <w:rsid w:val="000C49CF"/>
    <w:rsid w:val="000C5CF8"/>
    <w:rsid w:val="000D0EE1"/>
    <w:rsid w:val="000D1EF3"/>
    <w:rsid w:val="000E13A2"/>
    <w:rsid w:val="000E45F3"/>
    <w:rsid w:val="000F3F75"/>
    <w:rsid w:val="000F6F62"/>
    <w:rsid w:val="001063BD"/>
    <w:rsid w:val="00106CD9"/>
    <w:rsid w:val="001078B2"/>
    <w:rsid w:val="001138F1"/>
    <w:rsid w:val="0011503B"/>
    <w:rsid w:val="001224E3"/>
    <w:rsid w:val="001400A6"/>
    <w:rsid w:val="0015667D"/>
    <w:rsid w:val="0016197E"/>
    <w:rsid w:val="00166B14"/>
    <w:rsid w:val="0017525C"/>
    <w:rsid w:val="0017593D"/>
    <w:rsid w:val="00181E04"/>
    <w:rsid w:val="00184E0C"/>
    <w:rsid w:val="001902C3"/>
    <w:rsid w:val="00190C74"/>
    <w:rsid w:val="001B1F13"/>
    <w:rsid w:val="001B4832"/>
    <w:rsid w:val="001C4671"/>
    <w:rsid w:val="001C737A"/>
    <w:rsid w:val="001D2A3B"/>
    <w:rsid w:val="001D4D1E"/>
    <w:rsid w:val="001E5884"/>
    <w:rsid w:val="001E5A94"/>
    <w:rsid w:val="001E6B6D"/>
    <w:rsid w:val="001F56A4"/>
    <w:rsid w:val="00202A84"/>
    <w:rsid w:val="00207F33"/>
    <w:rsid w:val="00212ADF"/>
    <w:rsid w:val="002140D5"/>
    <w:rsid w:val="002143DD"/>
    <w:rsid w:val="002172E3"/>
    <w:rsid w:val="00223320"/>
    <w:rsid w:val="00233911"/>
    <w:rsid w:val="0024662A"/>
    <w:rsid w:val="00247250"/>
    <w:rsid w:val="0028273F"/>
    <w:rsid w:val="00283EA8"/>
    <w:rsid w:val="002937CE"/>
    <w:rsid w:val="002A3B93"/>
    <w:rsid w:val="002A443F"/>
    <w:rsid w:val="002B09AD"/>
    <w:rsid w:val="002B77A5"/>
    <w:rsid w:val="002C005C"/>
    <w:rsid w:val="002C1574"/>
    <w:rsid w:val="002E020B"/>
    <w:rsid w:val="002E5304"/>
    <w:rsid w:val="002E6D6F"/>
    <w:rsid w:val="002F1CB1"/>
    <w:rsid w:val="002F23BB"/>
    <w:rsid w:val="002F3845"/>
    <w:rsid w:val="002F4B50"/>
    <w:rsid w:val="00300134"/>
    <w:rsid w:val="003014A8"/>
    <w:rsid w:val="00310970"/>
    <w:rsid w:val="00314E78"/>
    <w:rsid w:val="00335323"/>
    <w:rsid w:val="003528B2"/>
    <w:rsid w:val="0035614E"/>
    <w:rsid w:val="003575F8"/>
    <w:rsid w:val="0036569E"/>
    <w:rsid w:val="00371BA3"/>
    <w:rsid w:val="003774A1"/>
    <w:rsid w:val="003804AA"/>
    <w:rsid w:val="00381908"/>
    <w:rsid w:val="003913BA"/>
    <w:rsid w:val="00391FC8"/>
    <w:rsid w:val="0039421B"/>
    <w:rsid w:val="0039446C"/>
    <w:rsid w:val="003A7574"/>
    <w:rsid w:val="003C62AB"/>
    <w:rsid w:val="003C7616"/>
    <w:rsid w:val="003E0C5D"/>
    <w:rsid w:val="003E689E"/>
    <w:rsid w:val="00401A33"/>
    <w:rsid w:val="00417354"/>
    <w:rsid w:val="0042488C"/>
    <w:rsid w:val="0043273F"/>
    <w:rsid w:val="00435B73"/>
    <w:rsid w:val="004440AA"/>
    <w:rsid w:val="00445444"/>
    <w:rsid w:val="00451287"/>
    <w:rsid w:val="0045361E"/>
    <w:rsid w:val="00480436"/>
    <w:rsid w:val="00492DDC"/>
    <w:rsid w:val="00497C5D"/>
    <w:rsid w:val="004C02FF"/>
    <w:rsid w:val="004C6190"/>
    <w:rsid w:val="004C71CB"/>
    <w:rsid w:val="004E6393"/>
    <w:rsid w:val="004E743E"/>
    <w:rsid w:val="004F30C5"/>
    <w:rsid w:val="004F420B"/>
    <w:rsid w:val="0050271A"/>
    <w:rsid w:val="005057F8"/>
    <w:rsid w:val="005141CA"/>
    <w:rsid w:val="00515AEB"/>
    <w:rsid w:val="00521028"/>
    <w:rsid w:val="0052674C"/>
    <w:rsid w:val="0053352C"/>
    <w:rsid w:val="0053411B"/>
    <w:rsid w:val="00535555"/>
    <w:rsid w:val="005404C7"/>
    <w:rsid w:val="005533B8"/>
    <w:rsid w:val="0056759B"/>
    <w:rsid w:val="00567C16"/>
    <w:rsid w:val="005706DB"/>
    <w:rsid w:val="00572AD0"/>
    <w:rsid w:val="00574403"/>
    <w:rsid w:val="005A20F6"/>
    <w:rsid w:val="005A2AAC"/>
    <w:rsid w:val="005C117C"/>
    <w:rsid w:val="005C37AE"/>
    <w:rsid w:val="005D57DB"/>
    <w:rsid w:val="005D5964"/>
    <w:rsid w:val="005D59A7"/>
    <w:rsid w:val="005D789E"/>
    <w:rsid w:val="005E44C1"/>
    <w:rsid w:val="005E5248"/>
    <w:rsid w:val="005E5626"/>
    <w:rsid w:val="005F12B4"/>
    <w:rsid w:val="005F20B2"/>
    <w:rsid w:val="005F7A2E"/>
    <w:rsid w:val="00601165"/>
    <w:rsid w:val="00605E7C"/>
    <w:rsid w:val="006070F0"/>
    <w:rsid w:val="006121AA"/>
    <w:rsid w:val="0061724D"/>
    <w:rsid w:val="00617E75"/>
    <w:rsid w:val="00620DA8"/>
    <w:rsid w:val="00623CF2"/>
    <w:rsid w:val="006258C8"/>
    <w:rsid w:val="00627E1A"/>
    <w:rsid w:val="00632837"/>
    <w:rsid w:val="00632D4C"/>
    <w:rsid w:val="00634BA9"/>
    <w:rsid w:val="00636FFB"/>
    <w:rsid w:val="00640BE8"/>
    <w:rsid w:val="00642A5F"/>
    <w:rsid w:val="00643391"/>
    <w:rsid w:val="00651832"/>
    <w:rsid w:val="00653F6C"/>
    <w:rsid w:val="00665D31"/>
    <w:rsid w:val="006715E0"/>
    <w:rsid w:val="00676EFC"/>
    <w:rsid w:val="00690B94"/>
    <w:rsid w:val="00693A8A"/>
    <w:rsid w:val="006A01C0"/>
    <w:rsid w:val="006B0F30"/>
    <w:rsid w:val="006C0930"/>
    <w:rsid w:val="006C4D7A"/>
    <w:rsid w:val="006D59AB"/>
    <w:rsid w:val="006E7EBA"/>
    <w:rsid w:val="006F5602"/>
    <w:rsid w:val="00705136"/>
    <w:rsid w:val="007122BF"/>
    <w:rsid w:val="0072167D"/>
    <w:rsid w:val="00730C32"/>
    <w:rsid w:val="00736EC9"/>
    <w:rsid w:val="0073704E"/>
    <w:rsid w:val="00747A61"/>
    <w:rsid w:val="00752128"/>
    <w:rsid w:val="0076253B"/>
    <w:rsid w:val="00767B4C"/>
    <w:rsid w:val="00772E1A"/>
    <w:rsid w:val="00774E24"/>
    <w:rsid w:val="00776E48"/>
    <w:rsid w:val="0078125C"/>
    <w:rsid w:val="00781397"/>
    <w:rsid w:val="007958C1"/>
    <w:rsid w:val="007A16CF"/>
    <w:rsid w:val="007C22E0"/>
    <w:rsid w:val="007C7E40"/>
    <w:rsid w:val="007D41C0"/>
    <w:rsid w:val="007E1995"/>
    <w:rsid w:val="007E693B"/>
    <w:rsid w:val="00810E8E"/>
    <w:rsid w:val="00813DA1"/>
    <w:rsid w:val="008179C3"/>
    <w:rsid w:val="00827E95"/>
    <w:rsid w:val="00834886"/>
    <w:rsid w:val="008360A0"/>
    <w:rsid w:val="00841B7E"/>
    <w:rsid w:val="00846ADB"/>
    <w:rsid w:val="0085640C"/>
    <w:rsid w:val="00856889"/>
    <w:rsid w:val="0086156E"/>
    <w:rsid w:val="00865103"/>
    <w:rsid w:val="00867A03"/>
    <w:rsid w:val="00891B5F"/>
    <w:rsid w:val="00891F6B"/>
    <w:rsid w:val="0089385A"/>
    <w:rsid w:val="008A282D"/>
    <w:rsid w:val="008A3173"/>
    <w:rsid w:val="008B5E2E"/>
    <w:rsid w:val="008C23A1"/>
    <w:rsid w:val="008D2971"/>
    <w:rsid w:val="008E3503"/>
    <w:rsid w:val="008F0139"/>
    <w:rsid w:val="008F1D60"/>
    <w:rsid w:val="008F6364"/>
    <w:rsid w:val="008F7682"/>
    <w:rsid w:val="00901F16"/>
    <w:rsid w:val="00915FD6"/>
    <w:rsid w:val="00932D03"/>
    <w:rsid w:val="00945601"/>
    <w:rsid w:val="00953CC5"/>
    <w:rsid w:val="00954820"/>
    <w:rsid w:val="009602CB"/>
    <w:rsid w:val="009659B0"/>
    <w:rsid w:val="0096701C"/>
    <w:rsid w:val="00972985"/>
    <w:rsid w:val="00984465"/>
    <w:rsid w:val="00984845"/>
    <w:rsid w:val="009934E3"/>
    <w:rsid w:val="009A4CF6"/>
    <w:rsid w:val="009A7097"/>
    <w:rsid w:val="009A76DA"/>
    <w:rsid w:val="009B52B2"/>
    <w:rsid w:val="009B5E45"/>
    <w:rsid w:val="009C22D3"/>
    <w:rsid w:val="009C5F5F"/>
    <w:rsid w:val="009D216C"/>
    <w:rsid w:val="009D2FAB"/>
    <w:rsid w:val="009D3213"/>
    <w:rsid w:val="009D7254"/>
    <w:rsid w:val="009E0DF9"/>
    <w:rsid w:val="009E7AB8"/>
    <w:rsid w:val="009E7BAD"/>
    <w:rsid w:val="009F6248"/>
    <w:rsid w:val="00A235BA"/>
    <w:rsid w:val="00A30A9B"/>
    <w:rsid w:val="00A35273"/>
    <w:rsid w:val="00A360B4"/>
    <w:rsid w:val="00A555E6"/>
    <w:rsid w:val="00A61200"/>
    <w:rsid w:val="00A62BFC"/>
    <w:rsid w:val="00A6377B"/>
    <w:rsid w:val="00A64B2C"/>
    <w:rsid w:val="00A67027"/>
    <w:rsid w:val="00A71558"/>
    <w:rsid w:val="00A83B33"/>
    <w:rsid w:val="00A84F00"/>
    <w:rsid w:val="00A87B9B"/>
    <w:rsid w:val="00AA50F9"/>
    <w:rsid w:val="00AA74C4"/>
    <w:rsid w:val="00AB2FBE"/>
    <w:rsid w:val="00AB604D"/>
    <w:rsid w:val="00AB67E3"/>
    <w:rsid w:val="00AC62EF"/>
    <w:rsid w:val="00AD2AAD"/>
    <w:rsid w:val="00AD6C9A"/>
    <w:rsid w:val="00AE1E55"/>
    <w:rsid w:val="00AE4C30"/>
    <w:rsid w:val="00AE5D65"/>
    <w:rsid w:val="00AF09F7"/>
    <w:rsid w:val="00AF66DD"/>
    <w:rsid w:val="00B027DC"/>
    <w:rsid w:val="00B13C6E"/>
    <w:rsid w:val="00B14C15"/>
    <w:rsid w:val="00B160A8"/>
    <w:rsid w:val="00B34E11"/>
    <w:rsid w:val="00B3567E"/>
    <w:rsid w:val="00B36E62"/>
    <w:rsid w:val="00B43F89"/>
    <w:rsid w:val="00B60531"/>
    <w:rsid w:val="00B654DF"/>
    <w:rsid w:val="00B668AD"/>
    <w:rsid w:val="00B76417"/>
    <w:rsid w:val="00B83BE9"/>
    <w:rsid w:val="00B91F8B"/>
    <w:rsid w:val="00B96B8D"/>
    <w:rsid w:val="00BA03FE"/>
    <w:rsid w:val="00BB3BE1"/>
    <w:rsid w:val="00BD19C0"/>
    <w:rsid w:val="00BD25D6"/>
    <w:rsid w:val="00BD5E38"/>
    <w:rsid w:val="00BE165B"/>
    <w:rsid w:val="00BE262D"/>
    <w:rsid w:val="00BE7680"/>
    <w:rsid w:val="00BF5B55"/>
    <w:rsid w:val="00C11C5A"/>
    <w:rsid w:val="00C3323B"/>
    <w:rsid w:val="00C37AD4"/>
    <w:rsid w:val="00C46E67"/>
    <w:rsid w:val="00C549FF"/>
    <w:rsid w:val="00C62A9E"/>
    <w:rsid w:val="00C63087"/>
    <w:rsid w:val="00C66450"/>
    <w:rsid w:val="00C7157C"/>
    <w:rsid w:val="00C7304F"/>
    <w:rsid w:val="00C97BE7"/>
    <w:rsid w:val="00CA346A"/>
    <w:rsid w:val="00CA4472"/>
    <w:rsid w:val="00CB038D"/>
    <w:rsid w:val="00CB5761"/>
    <w:rsid w:val="00CE0EE5"/>
    <w:rsid w:val="00CE5460"/>
    <w:rsid w:val="00CE73DD"/>
    <w:rsid w:val="00CE7C52"/>
    <w:rsid w:val="00CF0104"/>
    <w:rsid w:val="00CF6295"/>
    <w:rsid w:val="00D00FB3"/>
    <w:rsid w:val="00D044E7"/>
    <w:rsid w:val="00D1619A"/>
    <w:rsid w:val="00D261A6"/>
    <w:rsid w:val="00D35D25"/>
    <w:rsid w:val="00D4093A"/>
    <w:rsid w:val="00D409F4"/>
    <w:rsid w:val="00D42364"/>
    <w:rsid w:val="00D46810"/>
    <w:rsid w:val="00D52AEE"/>
    <w:rsid w:val="00D54BAD"/>
    <w:rsid w:val="00D64A59"/>
    <w:rsid w:val="00D738EB"/>
    <w:rsid w:val="00D855E8"/>
    <w:rsid w:val="00D93DA9"/>
    <w:rsid w:val="00D97222"/>
    <w:rsid w:val="00DB20AC"/>
    <w:rsid w:val="00DC185C"/>
    <w:rsid w:val="00DC351A"/>
    <w:rsid w:val="00DC462B"/>
    <w:rsid w:val="00DD0D3A"/>
    <w:rsid w:val="00DD5806"/>
    <w:rsid w:val="00DE110F"/>
    <w:rsid w:val="00DF0C79"/>
    <w:rsid w:val="00DF7E70"/>
    <w:rsid w:val="00E05C54"/>
    <w:rsid w:val="00E1459A"/>
    <w:rsid w:val="00E21097"/>
    <w:rsid w:val="00E30828"/>
    <w:rsid w:val="00E3742A"/>
    <w:rsid w:val="00E54870"/>
    <w:rsid w:val="00E87F2D"/>
    <w:rsid w:val="00E90314"/>
    <w:rsid w:val="00E93FDD"/>
    <w:rsid w:val="00E94FF6"/>
    <w:rsid w:val="00EA30FE"/>
    <w:rsid w:val="00EA65EC"/>
    <w:rsid w:val="00EA7D2E"/>
    <w:rsid w:val="00EB49F6"/>
    <w:rsid w:val="00EB79A1"/>
    <w:rsid w:val="00EC4AD0"/>
    <w:rsid w:val="00EE14E6"/>
    <w:rsid w:val="00EE513A"/>
    <w:rsid w:val="00EF308B"/>
    <w:rsid w:val="00EF4C1C"/>
    <w:rsid w:val="00EF5AE1"/>
    <w:rsid w:val="00EF7C33"/>
    <w:rsid w:val="00F0107A"/>
    <w:rsid w:val="00F038D7"/>
    <w:rsid w:val="00F142A7"/>
    <w:rsid w:val="00F20CAA"/>
    <w:rsid w:val="00F2106F"/>
    <w:rsid w:val="00F301DA"/>
    <w:rsid w:val="00F30FA9"/>
    <w:rsid w:val="00F51EE7"/>
    <w:rsid w:val="00F56874"/>
    <w:rsid w:val="00F67BEE"/>
    <w:rsid w:val="00F7371E"/>
    <w:rsid w:val="00F83BDF"/>
    <w:rsid w:val="00F84136"/>
    <w:rsid w:val="00F903D2"/>
    <w:rsid w:val="00F9098A"/>
    <w:rsid w:val="00F978E0"/>
    <w:rsid w:val="00FA0568"/>
    <w:rsid w:val="00FB3CF6"/>
    <w:rsid w:val="00FC67B8"/>
    <w:rsid w:val="00FD2D1F"/>
    <w:rsid w:val="00FF2671"/>
    <w:rsid w:val="00FF69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EA9C"/>
  <w15:chartTrackingRefBased/>
  <w15:docId w15:val="{E8AC977F-DF2C-44DA-B958-EB91A7A1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1CB"/>
  </w:style>
  <w:style w:type="paragraph" w:styleId="3">
    <w:name w:val="heading 3"/>
    <w:basedOn w:val="a"/>
    <w:link w:val="30"/>
    <w:uiPriority w:val="9"/>
    <w:qFormat/>
    <w:rsid w:val="00051BF0"/>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Знак Знак Знак,Знак"/>
    <w:basedOn w:val="a"/>
    <w:link w:val="a5"/>
    <w:uiPriority w:val="99"/>
    <w:unhideWhenUsed/>
    <w:qFormat/>
    <w:rsid w:val="00D42364"/>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6">
    <w:name w:val="No Spacing"/>
    <w:link w:val="a7"/>
    <w:uiPriority w:val="1"/>
    <w:qFormat/>
    <w:rsid w:val="00D42364"/>
    <w:pPr>
      <w:spacing w:after="0" w:line="240" w:lineRule="auto"/>
    </w:pPr>
    <w:rPr>
      <w:rFonts w:ascii="Calibri" w:eastAsia="Times New Roman" w:hAnsi="Calibri" w:cs="Times New Roman"/>
    </w:rPr>
  </w:style>
  <w:style w:type="character" w:customStyle="1" w:styleId="a5">
    <w:name w:val="Звичайний (веб) Знак"/>
    <w:aliases w:val="Знак Знак Знак Знак,Знак Знак"/>
    <w:basedOn w:val="a0"/>
    <w:link w:val="a4"/>
    <w:uiPriority w:val="99"/>
    <w:locked/>
    <w:rsid w:val="00D42364"/>
    <w:rPr>
      <w:rFonts w:ascii="Times New Roman" w:eastAsiaTheme="minorEastAsia" w:hAnsi="Times New Roman" w:cs="Times New Roman"/>
      <w:sz w:val="24"/>
      <w:szCs w:val="24"/>
      <w:lang w:eastAsia="uk-UA"/>
    </w:rPr>
  </w:style>
  <w:style w:type="character" w:customStyle="1" w:styleId="a7">
    <w:name w:val="Без інтервалів Знак"/>
    <w:basedOn w:val="a0"/>
    <w:link w:val="a6"/>
    <w:uiPriority w:val="1"/>
    <w:rsid w:val="00D42364"/>
    <w:rPr>
      <w:rFonts w:ascii="Calibri" w:eastAsia="Times New Roman" w:hAnsi="Calibri" w:cs="Times New Roman"/>
    </w:rPr>
  </w:style>
  <w:style w:type="character" w:styleId="a8">
    <w:name w:val="annotation reference"/>
    <w:basedOn w:val="a0"/>
    <w:uiPriority w:val="99"/>
    <w:semiHidden/>
    <w:unhideWhenUsed/>
    <w:rsid w:val="00B96B8D"/>
    <w:rPr>
      <w:sz w:val="16"/>
      <w:szCs w:val="16"/>
    </w:rPr>
  </w:style>
  <w:style w:type="paragraph" w:styleId="a9">
    <w:name w:val="annotation text"/>
    <w:basedOn w:val="a"/>
    <w:link w:val="aa"/>
    <w:uiPriority w:val="99"/>
    <w:unhideWhenUsed/>
    <w:rsid w:val="00B96B8D"/>
    <w:pPr>
      <w:spacing w:line="240" w:lineRule="auto"/>
    </w:pPr>
    <w:rPr>
      <w:sz w:val="20"/>
      <w:szCs w:val="20"/>
    </w:rPr>
  </w:style>
  <w:style w:type="character" w:customStyle="1" w:styleId="aa">
    <w:name w:val="Текст примітки Знак"/>
    <w:basedOn w:val="a0"/>
    <w:link w:val="a9"/>
    <w:uiPriority w:val="99"/>
    <w:rsid w:val="00B96B8D"/>
    <w:rPr>
      <w:sz w:val="20"/>
      <w:szCs w:val="20"/>
    </w:rPr>
  </w:style>
  <w:style w:type="paragraph" w:styleId="ab">
    <w:name w:val="annotation subject"/>
    <w:basedOn w:val="a9"/>
    <w:next w:val="a9"/>
    <w:link w:val="ac"/>
    <w:uiPriority w:val="99"/>
    <w:semiHidden/>
    <w:unhideWhenUsed/>
    <w:rsid w:val="00B96B8D"/>
    <w:rPr>
      <w:b/>
      <w:bCs/>
    </w:rPr>
  </w:style>
  <w:style w:type="character" w:customStyle="1" w:styleId="ac">
    <w:name w:val="Тема примітки Знак"/>
    <w:basedOn w:val="aa"/>
    <w:link w:val="ab"/>
    <w:uiPriority w:val="99"/>
    <w:semiHidden/>
    <w:rsid w:val="00B96B8D"/>
    <w:rPr>
      <w:b/>
      <w:bCs/>
      <w:sz w:val="20"/>
      <w:szCs w:val="20"/>
    </w:rPr>
  </w:style>
  <w:style w:type="paragraph" w:styleId="ad">
    <w:name w:val="Balloon Text"/>
    <w:basedOn w:val="a"/>
    <w:link w:val="ae"/>
    <w:uiPriority w:val="99"/>
    <w:semiHidden/>
    <w:unhideWhenUsed/>
    <w:rsid w:val="00B96B8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B96B8D"/>
    <w:rPr>
      <w:rFonts w:ascii="Segoe UI" w:hAnsi="Segoe UI" w:cs="Segoe UI"/>
      <w:sz w:val="18"/>
      <w:szCs w:val="18"/>
    </w:rPr>
  </w:style>
  <w:style w:type="character" w:styleId="af">
    <w:name w:val="Hyperlink"/>
    <w:basedOn w:val="a0"/>
    <w:uiPriority w:val="99"/>
    <w:semiHidden/>
    <w:unhideWhenUsed/>
    <w:rsid w:val="003774A1"/>
    <w:rPr>
      <w:color w:val="0000FF"/>
      <w:u w:val="single"/>
    </w:rPr>
  </w:style>
  <w:style w:type="paragraph" w:styleId="af0">
    <w:name w:val="Revision"/>
    <w:hidden/>
    <w:uiPriority w:val="99"/>
    <w:semiHidden/>
    <w:rsid w:val="00A71558"/>
    <w:pPr>
      <w:spacing w:after="0" w:line="240" w:lineRule="auto"/>
    </w:pPr>
  </w:style>
  <w:style w:type="paragraph" w:customStyle="1" w:styleId="rvps2">
    <w:name w:val="rvps2"/>
    <w:basedOn w:val="a"/>
    <w:rsid w:val="00BE768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header"/>
    <w:basedOn w:val="a"/>
    <w:link w:val="af2"/>
    <w:uiPriority w:val="99"/>
    <w:unhideWhenUsed/>
    <w:rsid w:val="009934E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9934E3"/>
  </w:style>
  <w:style w:type="paragraph" w:styleId="af3">
    <w:name w:val="footer"/>
    <w:basedOn w:val="a"/>
    <w:link w:val="af4"/>
    <w:uiPriority w:val="99"/>
    <w:unhideWhenUsed/>
    <w:rsid w:val="009934E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9934E3"/>
  </w:style>
  <w:style w:type="paragraph" w:styleId="af5">
    <w:name w:val="List Paragraph"/>
    <w:basedOn w:val="a"/>
    <w:uiPriority w:val="34"/>
    <w:qFormat/>
    <w:rsid w:val="00901F16"/>
    <w:pPr>
      <w:ind w:left="720"/>
      <w:contextualSpacing/>
    </w:pPr>
  </w:style>
  <w:style w:type="character" w:customStyle="1" w:styleId="rvts37">
    <w:name w:val="rvts37"/>
    <w:basedOn w:val="a0"/>
    <w:rsid w:val="001E5884"/>
  </w:style>
  <w:style w:type="character" w:customStyle="1" w:styleId="30">
    <w:name w:val="Заголовок 3 Знак"/>
    <w:basedOn w:val="a0"/>
    <w:link w:val="3"/>
    <w:uiPriority w:val="9"/>
    <w:rsid w:val="00051BF0"/>
    <w:rPr>
      <w:rFonts w:ascii="Times New Roman" w:eastAsiaTheme="minorEastAsia" w:hAnsi="Times New Roman" w:cs="Times New Roman"/>
      <w:b/>
      <w:bCs/>
      <w:sz w:val="27"/>
      <w:szCs w:val="27"/>
      <w:lang w:eastAsia="uk-UA"/>
    </w:rPr>
  </w:style>
  <w:style w:type="character" w:customStyle="1" w:styleId="rvts46">
    <w:name w:val="rvts46"/>
    <w:basedOn w:val="a0"/>
    <w:rsid w:val="00F7371E"/>
  </w:style>
  <w:style w:type="character" w:customStyle="1" w:styleId="rvts11">
    <w:name w:val="rvts11"/>
    <w:basedOn w:val="a0"/>
    <w:rsid w:val="00F7371E"/>
  </w:style>
  <w:style w:type="paragraph" w:customStyle="1" w:styleId="Default">
    <w:name w:val="Default"/>
    <w:rsid w:val="00C549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79554">
      <w:bodyDiv w:val="1"/>
      <w:marLeft w:val="0"/>
      <w:marRight w:val="0"/>
      <w:marTop w:val="0"/>
      <w:marBottom w:val="0"/>
      <w:divBdr>
        <w:top w:val="none" w:sz="0" w:space="0" w:color="auto"/>
        <w:left w:val="none" w:sz="0" w:space="0" w:color="auto"/>
        <w:bottom w:val="none" w:sz="0" w:space="0" w:color="auto"/>
        <w:right w:val="none" w:sz="0" w:space="0" w:color="auto"/>
      </w:divBdr>
    </w:div>
    <w:div w:id="740719091">
      <w:bodyDiv w:val="1"/>
      <w:marLeft w:val="0"/>
      <w:marRight w:val="0"/>
      <w:marTop w:val="0"/>
      <w:marBottom w:val="0"/>
      <w:divBdr>
        <w:top w:val="none" w:sz="0" w:space="0" w:color="auto"/>
        <w:left w:val="none" w:sz="0" w:space="0" w:color="auto"/>
        <w:bottom w:val="none" w:sz="0" w:space="0" w:color="auto"/>
        <w:right w:val="none" w:sz="0" w:space="0" w:color="auto"/>
      </w:divBdr>
    </w:div>
    <w:div w:id="755980078">
      <w:bodyDiv w:val="1"/>
      <w:marLeft w:val="0"/>
      <w:marRight w:val="0"/>
      <w:marTop w:val="0"/>
      <w:marBottom w:val="0"/>
      <w:divBdr>
        <w:top w:val="none" w:sz="0" w:space="0" w:color="auto"/>
        <w:left w:val="none" w:sz="0" w:space="0" w:color="auto"/>
        <w:bottom w:val="none" w:sz="0" w:space="0" w:color="auto"/>
        <w:right w:val="none" w:sz="0" w:space="0" w:color="auto"/>
      </w:divBdr>
    </w:div>
    <w:div w:id="901796917">
      <w:bodyDiv w:val="1"/>
      <w:marLeft w:val="0"/>
      <w:marRight w:val="0"/>
      <w:marTop w:val="0"/>
      <w:marBottom w:val="0"/>
      <w:divBdr>
        <w:top w:val="none" w:sz="0" w:space="0" w:color="auto"/>
        <w:left w:val="none" w:sz="0" w:space="0" w:color="auto"/>
        <w:bottom w:val="none" w:sz="0" w:space="0" w:color="auto"/>
        <w:right w:val="none" w:sz="0" w:space="0" w:color="auto"/>
      </w:divBdr>
    </w:div>
    <w:div w:id="1058482288">
      <w:bodyDiv w:val="1"/>
      <w:marLeft w:val="0"/>
      <w:marRight w:val="0"/>
      <w:marTop w:val="0"/>
      <w:marBottom w:val="0"/>
      <w:divBdr>
        <w:top w:val="none" w:sz="0" w:space="0" w:color="auto"/>
        <w:left w:val="none" w:sz="0" w:space="0" w:color="auto"/>
        <w:bottom w:val="none" w:sz="0" w:space="0" w:color="auto"/>
        <w:right w:val="none" w:sz="0" w:space="0" w:color="auto"/>
      </w:divBdr>
    </w:div>
    <w:div w:id="1080642849">
      <w:bodyDiv w:val="1"/>
      <w:marLeft w:val="0"/>
      <w:marRight w:val="0"/>
      <w:marTop w:val="0"/>
      <w:marBottom w:val="0"/>
      <w:divBdr>
        <w:top w:val="none" w:sz="0" w:space="0" w:color="auto"/>
        <w:left w:val="none" w:sz="0" w:space="0" w:color="auto"/>
        <w:bottom w:val="none" w:sz="0" w:space="0" w:color="auto"/>
        <w:right w:val="none" w:sz="0" w:space="0" w:color="auto"/>
      </w:divBdr>
    </w:div>
    <w:div w:id="1496526750">
      <w:bodyDiv w:val="1"/>
      <w:marLeft w:val="0"/>
      <w:marRight w:val="0"/>
      <w:marTop w:val="0"/>
      <w:marBottom w:val="0"/>
      <w:divBdr>
        <w:top w:val="none" w:sz="0" w:space="0" w:color="auto"/>
        <w:left w:val="none" w:sz="0" w:space="0" w:color="auto"/>
        <w:bottom w:val="none" w:sz="0" w:space="0" w:color="auto"/>
        <w:right w:val="none" w:sz="0" w:space="0" w:color="auto"/>
      </w:divBdr>
    </w:div>
    <w:div w:id="1629628142">
      <w:bodyDiv w:val="1"/>
      <w:marLeft w:val="0"/>
      <w:marRight w:val="0"/>
      <w:marTop w:val="0"/>
      <w:marBottom w:val="0"/>
      <w:divBdr>
        <w:top w:val="none" w:sz="0" w:space="0" w:color="auto"/>
        <w:left w:val="none" w:sz="0" w:space="0" w:color="auto"/>
        <w:bottom w:val="none" w:sz="0" w:space="0" w:color="auto"/>
        <w:right w:val="none" w:sz="0" w:space="0" w:color="auto"/>
      </w:divBdr>
    </w:div>
    <w:div w:id="1661276811">
      <w:bodyDiv w:val="1"/>
      <w:marLeft w:val="0"/>
      <w:marRight w:val="0"/>
      <w:marTop w:val="0"/>
      <w:marBottom w:val="0"/>
      <w:divBdr>
        <w:top w:val="none" w:sz="0" w:space="0" w:color="auto"/>
        <w:left w:val="none" w:sz="0" w:space="0" w:color="auto"/>
        <w:bottom w:val="none" w:sz="0" w:space="0" w:color="auto"/>
        <w:right w:val="none" w:sz="0" w:space="0" w:color="auto"/>
      </w:divBdr>
    </w:div>
    <w:div w:id="17503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CBB1D-0C24-41B6-A726-A6585F97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3133</Words>
  <Characters>1786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Дмитренко Наталія Володимирівна</dc:creator>
  <cp:keywords/>
  <dc:description/>
  <cp:lastModifiedBy>Сікорський Сергій Станіславович</cp:lastModifiedBy>
  <cp:revision>2</cp:revision>
  <cp:lastPrinted>2024-11-19T09:53:00Z</cp:lastPrinted>
  <dcterms:created xsi:type="dcterms:W3CDTF">2026-02-20T06:25:00Z</dcterms:created>
  <dcterms:modified xsi:type="dcterms:W3CDTF">2026-02-20T06:25:00Z</dcterms:modified>
</cp:coreProperties>
</file>