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85DFA76" w:rsidR="001213A0" w:rsidRPr="006F6EF1"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Дані файл</w:t>
      </w:r>
      <w:r w:rsidR="001B45F9" w:rsidRPr="006122A0">
        <w:rPr>
          <w:color w:val="auto"/>
          <w:sz w:val="28"/>
          <w:szCs w:val="28"/>
        </w:rPr>
        <w:t>а</w:t>
      </w:r>
      <w:r w:rsidRPr="006122A0">
        <w:rPr>
          <w:color w:val="auto"/>
          <w:sz w:val="28"/>
          <w:szCs w:val="28"/>
        </w:rPr>
        <w:t xml:space="preserve"> 07X </w:t>
      </w:r>
      <w:r w:rsidR="00B56AC5" w:rsidRPr="0035328D">
        <w:rPr>
          <w:sz w:val="28"/>
          <w:szCs w:val="28"/>
        </w:rPr>
        <w:t xml:space="preserve">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w:t>
      </w:r>
      <w:r w:rsidR="00B56AC5" w:rsidRPr="006F6EF1">
        <w:rPr>
          <w:color w:val="auto"/>
          <w:sz w:val="28"/>
          <w:szCs w:val="28"/>
        </w:rPr>
        <w:t>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r w:rsidR="006F6EF1">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55FAC5A8"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C51CB6C"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w:t>
      </w:r>
      <w:r w:rsidR="00ED7A9C">
        <w:rPr>
          <w:rFonts w:ascii="Times New Roman" w:hAnsi="Times New Roman" w:cs="Times New Roman"/>
          <w:sz w:val="28"/>
          <w:szCs w:val="28"/>
          <w:lang w:val="uk-UA"/>
        </w:rPr>
        <w:t>я (узагальнені) (довідник S183)</w:t>
      </w:r>
      <w:r w:rsidRPr="006122A0">
        <w:rPr>
          <w:rFonts w:ascii="Times New Roman" w:hAnsi="Times New Roman" w:cs="Times New Roman"/>
          <w:sz w:val="28"/>
          <w:szCs w:val="28"/>
          <w:lang w:val="uk-UA"/>
        </w:rPr>
        <w:t>;</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роздiл</w:t>
      </w:r>
      <w:r w:rsidR="00FE37A2" w:rsidRPr="006122A0">
        <w:rPr>
          <w:rFonts w:ascii="Times New Roman" w:hAnsi="Times New Roman" w:cs="Times New Roman"/>
          <w:sz w:val="28"/>
          <w:szCs w:val="28"/>
          <w:lang w:val="uk-UA"/>
        </w:rPr>
        <w:t>ів</w:t>
      </w:r>
      <w:r w:rsidRPr="006122A0">
        <w:rPr>
          <w:rFonts w:ascii="Times New Roman" w:hAnsi="Times New Roman" w:cs="Times New Roman"/>
          <w:sz w:val="28"/>
          <w:szCs w:val="28"/>
          <w:lang w:val="uk-UA"/>
        </w:rPr>
        <w:t xml:space="preserve"> видiв економi</w:t>
      </w:r>
      <w:r w:rsidR="00F4584F" w:rsidRPr="006122A0">
        <w:rPr>
          <w:rFonts w:ascii="Times New Roman" w:hAnsi="Times New Roman" w:cs="Times New Roman"/>
          <w:sz w:val="28"/>
          <w:szCs w:val="28"/>
          <w:lang w:val="uk-UA"/>
        </w:rPr>
        <w:t>чної дiяльностi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425A2786"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ED7A9C">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2035596E"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6CC40D84" w14:textId="193585EE" w:rsidR="000C6C16"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xml:space="preserve">, визнаної за </w:t>
      </w:r>
      <w:r w:rsidR="005D4B75">
        <w:rPr>
          <w:rFonts w:ascii="Times New Roman" w:eastAsia="Times New Roman" w:hAnsi="Times New Roman" w:cs="Times New Roman"/>
          <w:sz w:val="28"/>
          <w:szCs w:val="28"/>
          <w:lang w:val="uk-UA" w:eastAsia="uk-UA"/>
        </w:rPr>
        <w:t>М</w:t>
      </w:r>
      <w:r w:rsidRPr="006122A0">
        <w:rPr>
          <w:rFonts w:ascii="Times New Roman" w:eastAsia="Times New Roman" w:hAnsi="Times New Roman" w:cs="Times New Roman"/>
          <w:sz w:val="28"/>
          <w:szCs w:val="28"/>
          <w:lang w:val="uk-UA" w:eastAsia="uk-UA"/>
        </w:rPr>
        <w:t>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538DA279"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w:t>
      </w:r>
      <w:r w:rsidR="009B64AA">
        <w:rPr>
          <w:rFonts w:ascii="Times New Roman" w:hAnsi="Times New Roman" w:cs="Times New Roman"/>
          <w:sz w:val="28"/>
          <w:szCs w:val="28"/>
          <w:lang w:val="uk-UA"/>
        </w:rPr>
        <w:t>’</w:t>
      </w:r>
      <w:r w:rsidRPr="00D5542F">
        <w:rPr>
          <w:rFonts w:ascii="Times New Roman" w:hAnsi="Times New Roman" w:cs="Times New Roman"/>
          <w:sz w:val="28"/>
          <w:szCs w:val="28"/>
          <w:lang w:val="uk-UA"/>
        </w:rPr>
        <w:t>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F05D21">
        <w:trPr>
          <w:trHeight w:val="506"/>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05B7C636"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sidR="001D3B57">
              <w:rPr>
                <w:rStyle w:val="af1"/>
                <w:rFonts w:ascii="Times New Roman" w:hAnsi="Times New Roman" w:cs="Times New Roman"/>
                <w:lang w:val="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5A49424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5594BFD" w14:textId="423A76C2"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Pr>
                <w:rStyle w:val="af1"/>
                <w:rFonts w:ascii="Times New Roman" w:hAnsi="Times New Roman" w:cs="Times New Roman"/>
                <w:lang w:val="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4DC4CD53" w14:textId="78896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205CDA2" w14:textId="4AF1DE2B"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03AE8996" w14:textId="3BE4EEC3"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9E0E8C7" w14:textId="58A89232"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4EF75B" w14:textId="55FD5C7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04742877" w14:textId="73D0D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77411EDD" w14:textId="2E85A0C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184A08FC" w14:textId="5774BEB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77965" w14:textId="34C4571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30090D55" w14:textId="6B4D7EBE"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651303F" w14:textId="17042F1E"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3B4CDD5" w14:textId="1690618D"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1D3B57" w:rsidRPr="00D5542F" w14:paraId="2713E317"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28BFADBD"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5"/>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4C14C8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6"/>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r>
      <w:tr w:rsidR="001D3B57" w:rsidRPr="00D5542F" w14:paraId="737500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6300620D"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sidR="00BE723F">
              <w:rPr>
                <w:rStyle w:val="af1"/>
                <w:rFonts w:ascii="Times New Roman" w:eastAsia="Times New Roman" w:hAnsi="Times New Roman" w:cs="Times New Roman"/>
                <w:lang w:val="uk-UA" w:eastAsia="uk-UA"/>
              </w:rPr>
              <w:footnoteReference w:id="7"/>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BE723F" w:rsidRPr="00D5542F" w14:paraId="45B95F0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45342EE" w14:textId="356F09DF"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Pr>
                <w:rStyle w:val="af1"/>
                <w:rFonts w:ascii="Times New Roman" w:eastAsia="Times New Roman" w:hAnsi="Times New Roman" w:cs="Times New Roman"/>
                <w:lang w:val="uk-UA" w:eastAsia="uk-UA"/>
              </w:rPr>
              <w:footnoteReference w:id="8"/>
            </w:r>
          </w:p>
        </w:tc>
        <w:tc>
          <w:tcPr>
            <w:tcW w:w="678" w:type="dxa"/>
            <w:tcBorders>
              <w:top w:val="nil"/>
              <w:left w:val="nil"/>
              <w:bottom w:val="single" w:sz="4" w:space="0" w:color="auto"/>
              <w:right w:val="single" w:sz="4" w:space="0" w:color="auto"/>
            </w:tcBorders>
            <w:shd w:val="clear" w:color="auto" w:fill="auto"/>
            <w:noWrap/>
            <w:vAlign w:val="center"/>
          </w:tcPr>
          <w:p w14:paraId="793B7D19" w14:textId="5F9D7B6D"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A3B23B6" w14:textId="3794E1A9"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5F23B" w14:textId="65A1E64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FBA97AD" w14:textId="0F0B7854"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59A450" w14:textId="4613D5C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E014A16" w14:textId="01FD1408"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3283EA3C" w14:textId="64F61720"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9BDDB23" w14:textId="4FE2048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538C914D" w14:textId="2CD3F6EC"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2AF0AAB" w14:textId="5AB493B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203917D7" w14:textId="5C931D4E"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9546527" w14:textId="12D82D07"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BE723F" w:rsidRPr="00D5542F" w14:paraId="23B4148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45A78F57"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sidR="004B0415">
              <w:rPr>
                <w:rStyle w:val="af1"/>
                <w:rFonts w:ascii="Times New Roman" w:eastAsia="Times New Roman" w:hAnsi="Times New Roman" w:cs="Times New Roman"/>
                <w:lang w:val="uk-UA" w:eastAsia="uk-UA"/>
              </w:rPr>
              <w:footnoteReference w:id="9"/>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4B0415" w:rsidRPr="00D5542F" w14:paraId="5286717C"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0DEA970" w14:textId="45C92C13"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Pr>
                <w:rStyle w:val="af1"/>
                <w:rFonts w:ascii="Times New Roman" w:eastAsia="Times New Roman" w:hAnsi="Times New Roman" w:cs="Times New Roman"/>
                <w:lang w:val="uk-UA" w:eastAsia="uk-UA"/>
              </w:rPr>
              <w:footnoteReference w:id="10"/>
            </w:r>
          </w:p>
        </w:tc>
        <w:tc>
          <w:tcPr>
            <w:tcW w:w="678" w:type="dxa"/>
            <w:tcBorders>
              <w:top w:val="nil"/>
              <w:left w:val="nil"/>
              <w:bottom w:val="single" w:sz="4" w:space="0" w:color="auto"/>
              <w:right w:val="single" w:sz="4" w:space="0" w:color="auto"/>
            </w:tcBorders>
            <w:shd w:val="clear" w:color="auto" w:fill="auto"/>
            <w:noWrap/>
            <w:vAlign w:val="center"/>
          </w:tcPr>
          <w:p w14:paraId="6916FFCF" w14:textId="773E981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32608509" w14:textId="375E6CB3"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BDC8622" w14:textId="3C7CD2B0"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1612945B" w14:textId="1BAB849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61D21DE8" w14:textId="1E0AD98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4D2259F" w14:textId="21487BE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CFA2486" w14:textId="74C6B8B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4357E167" w14:textId="06A9363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D6EF327" w14:textId="2491F85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472E4A0" w14:textId="0EF198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06B9B694" w14:textId="6565A7AA"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1D9E0730" w14:textId="07DE0CC3"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1BC5C4C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4B0415" w:rsidRPr="00D5542F" w:rsidRDefault="004B0415" w:rsidP="004B0415">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Pr="00D5542F">
              <w:rPr>
                <w:rFonts w:ascii="Times New Roman" w:hAnsi="Times New Roman" w:cs="Times New Roman"/>
                <w:lang w:val="en-US"/>
              </w:rPr>
              <w:t>4</w:t>
            </w:r>
            <w:r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4B0415" w:rsidRPr="00D5542F" w14:paraId="53BAC6B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1"/>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4B0415" w:rsidRPr="00D5542F" w:rsidRDefault="004B0415" w:rsidP="004B0415">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0116BA28"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2"/>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4B0415" w:rsidRPr="00D5542F" w:rsidRDefault="004B0415" w:rsidP="004B0415">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4B0415" w:rsidRPr="00D5542F" w:rsidRDefault="004B0415" w:rsidP="004B0415">
            <w:pPr>
              <w:spacing w:line="240" w:lineRule="auto"/>
              <w:jc w:val="center"/>
              <w:rPr>
                <w:lang w:val="en-US"/>
              </w:rPr>
            </w:pPr>
          </w:p>
        </w:tc>
      </w:tr>
      <w:tr w:rsidR="004B0415" w:rsidRPr="00D5542F" w14:paraId="71D51A5E"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2F69FEE6"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bl>
    <w:p w14:paraId="02594F25"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5C04AC8D"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10647CF2" w14:textId="5AA1DE1B"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9876" w:type="dxa"/>
        <w:tblLook w:val="04A0" w:firstRow="1" w:lastRow="0" w:firstColumn="1" w:lastColumn="0" w:noHBand="0" w:noVBand="1"/>
      </w:tblPr>
      <w:tblGrid>
        <w:gridCol w:w="1129"/>
        <w:gridCol w:w="736"/>
        <w:gridCol w:w="736"/>
        <w:gridCol w:w="792"/>
        <w:gridCol w:w="684"/>
        <w:gridCol w:w="684"/>
        <w:gridCol w:w="1438"/>
        <w:gridCol w:w="722"/>
        <w:gridCol w:w="1451"/>
        <w:gridCol w:w="505"/>
        <w:gridCol w:w="599"/>
        <w:gridCol w:w="508"/>
      </w:tblGrid>
      <w:tr w:rsidR="00D5542F" w:rsidRPr="00D5542F" w14:paraId="212F2A34" w14:textId="77777777" w:rsidTr="0024633F">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24633F">
        <w:trPr>
          <w:trHeight w:val="3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24633F">
        <w:trPr>
          <w:trHeight w:val="26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4A350BB5" w:rsidR="00C67F0A" w:rsidRPr="0024633F" w:rsidRDefault="00C67F0A" w:rsidP="009765B9">
            <w:pPr>
              <w:spacing w:after="0"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r w:rsidR="0024633F">
              <w:rPr>
                <w:rFonts w:ascii="Times New Roman" w:hAnsi="Times New Roman" w:cs="Times New Roman"/>
                <w:lang w:val="en-US"/>
              </w:rPr>
              <w:t xml:space="preserve">, </w:t>
            </w:r>
            <w:r w:rsidR="0024633F"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24633F">
        <w:trPr>
          <w:trHeight w:val="269"/>
        </w:trPr>
        <w:tc>
          <w:tcPr>
            <w:tcW w:w="1129" w:type="dxa"/>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571599A2" w:rsidR="001821EA" w:rsidRPr="0024633F" w:rsidRDefault="0024633F" w:rsidP="001821EA">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52849" w:rsidRDefault="001821EA" w:rsidP="001821EA">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43BEE883" w:rsidR="001821EA" w:rsidRPr="00D5542F" w:rsidRDefault="007F3427" w:rsidP="00A5233E">
            <w:pPr>
              <w:spacing w:after="0" w:line="240" w:lineRule="auto"/>
              <w:ind w:right="-164"/>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1597D75C" w14:textId="77777777" w:rsidTr="0024633F">
        <w:trPr>
          <w:trHeight w:val="41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89312C" w14:textId="52599275" w:rsidR="00C67F0A" w:rsidRPr="00A5233E" w:rsidRDefault="00C67F0A"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3</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0F263022" w:rsidR="00C67F0A" w:rsidRPr="00D5542F" w:rsidRDefault="0024633F"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63, 71,</w:t>
            </w:r>
            <w:r w:rsidR="009765B9" w:rsidRPr="00352849">
              <w:rPr>
                <w:rFonts w:ascii="Times New Roman" w:hAnsi="Times New Roman" w:cs="Times New Roman"/>
                <w:lang w:val="uk-UA"/>
              </w:rPr>
              <w:t xml:space="preserve"> </w:t>
            </w:r>
            <w:r w:rsidRPr="00352849">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581E50" w:rsidRPr="00D5542F" w14:paraId="1B050581" w14:textId="77777777" w:rsidTr="0024633F">
        <w:trPr>
          <w:trHeight w:val="411"/>
        </w:trPr>
        <w:tc>
          <w:tcPr>
            <w:tcW w:w="1129" w:type="dxa"/>
            <w:tcBorders>
              <w:top w:val="nil"/>
              <w:left w:val="single" w:sz="4" w:space="0" w:color="auto"/>
              <w:bottom w:val="single" w:sz="4" w:space="0" w:color="auto"/>
              <w:right w:val="single" w:sz="4" w:space="0" w:color="auto"/>
            </w:tcBorders>
            <w:shd w:val="clear" w:color="auto" w:fill="auto"/>
            <w:vAlign w:val="center"/>
          </w:tcPr>
          <w:p w14:paraId="5F7F7997" w14:textId="3C25D9F7" w:rsidR="00581E50" w:rsidRPr="00A5233E" w:rsidRDefault="00581E50"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4</w:t>
            </w:r>
          </w:p>
        </w:tc>
        <w:tc>
          <w:tcPr>
            <w:tcW w:w="0" w:type="auto"/>
            <w:tcBorders>
              <w:top w:val="nil"/>
              <w:left w:val="nil"/>
              <w:bottom w:val="single" w:sz="4" w:space="0" w:color="auto"/>
              <w:right w:val="single" w:sz="4" w:space="0" w:color="auto"/>
            </w:tcBorders>
            <w:shd w:val="clear" w:color="auto" w:fill="auto"/>
            <w:noWrap/>
            <w:vAlign w:val="center"/>
          </w:tcPr>
          <w:p w14:paraId="38687278" w14:textId="77777777"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9FC2C8E" w14:textId="7EA95BA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A45F795" w14:textId="255E0D19" w:rsidR="00581E50" w:rsidRPr="0024633F" w:rsidRDefault="0024633F" w:rsidP="00581E50">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69381194" w14:textId="29B922F4"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7073DBF" w14:textId="3E7EA383"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D8A034" w14:textId="56C8E034"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2086C03C" w14:textId="742AA08E"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C89935D" w14:textId="225E50CA"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74E74141" w14:textId="77777777"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6BF5F29" w14:textId="77777777" w:rsidR="00581E50" w:rsidRPr="00D5542F" w:rsidRDefault="00581E50" w:rsidP="00581E50">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56B28E2C" w14:textId="61F8A176" w:rsidR="00581E50" w:rsidRPr="00A5233E" w:rsidRDefault="007F3427" w:rsidP="00581E50">
            <w:pPr>
              <w:spacing w:after="0" w:line="240" w:lineRule="auto"/>
              <w:ind w:right="-163"/>
              <w:jc w:val="center"/>
              <w:rPr>
                <w:rFonts w:ascii="Times New Roman" w:hAnsi="Times New Roman" w:cs="Times New Roman"/>
                <w:strike/>
                <w:lang w:val="en-US"/>
              </w:rPr>
            </w:pPr>
            <w:r>
              <w:rPr>
                <w:rFonts w:ascii="Times New Roman" w:hAnsi="Times New Roman" w:cs="Times New Roman"/>
                <w:strike/>
                <w:lang w:val="en-US"/>
              </w:rPr>
              <w:t>#</w:t>
            </w:r>
          </w:p>
        </w:tc>
      </w:tr>
      <w:tr w:rsidR="00581E50" w:rsidRPr="00D5542F" w14:paraId="611B268B"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581E50" w:rsidRPr="00D5542F" w:rsidRDefault="00581E50" w:rsidP="00581E50">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05D8F7E3" w14:textId="77777777" w:rsidTr="0024633F">
        <w:trPr>
          <w:trHeight w:val="40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A2822D" w14:textId="1E1550EA"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E0D2199" w:rsidR="00581E50" w:rsidRPr="00D5542F" w:rsidRDefault="0024633F"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581E50" w:rsidRPr="00D5542F" w:rsidRDefault="00581E50" w:rsidP="00581E50">
            <w:pPr>
              <w:spacing w:after="0" w:line="240" w:lineRule="auto"/>
              <w:ind w:right="-163"/>
              <w:jc w:val="center"/>
              <w:rPr>
                <w:rFonts w:ascii="Times New Roman" w:hAnsi="Times New Roman" w:cs="Times New Roman"/>
                <w:lang w:val="uk-UA"/>
              </w:rPr>
            </w:pPr>
          </w:p>
        </w:tc>
      </w:tr>
      <w:tr w:rsidR="00581E50" w:rsidRPr="00D5542F" w14:paraId="0B01FA41"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AA66F3" w14:textId="1E322127"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581E50" w:rsidRPr="00D5542F" w:rsidRDefault="00581E50" w:rsidP="00581E50">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581E50" w:rsidRPr="00D5542F" w:rsidRDefault="00581E50" w:rsidP="00581E50">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5C201AA3" w:rsidR="00581E50" w:rsidRPr="0024633F" w:rsidRDefault="0024633F" w:rsidP="00581E50">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en-US"/>
              </w:rPr>
              <w:t xml:space="preserve">61, 62, </w:t>
            </w:r>
            <w:r w:rsidRPr="00352849">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581E50" w:rsidRPr="00D5542F" w:rsidRDefault="00581E50" w:rsidP="00581E50">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559DD8F2" w14:textId="77777777" w:rsidTr="0024633F">
        <w:trPr>
          <w:trHeight w:val="35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EA41E3" w14:textId="05ACCF94" w:rsidR="00581E50" w:rsidRPr="00BE723F" w:rsidRDefault="00581E50"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sidR="00BE723F">
              <w:rPr>
                <w:rStyle w:val="af1"/>
              </w:rPr>
              <w:t>7</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0352A4FA" w:rsidR="00581E50" w:rsidRPr="00D5542F" w:rsidRDefault="0024633F"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581E50" w:rsidRPr="00D5542F" w:rsidRDefault="00581E50" w:rsidP="00581E50">
            <w:pPr>
              <w:spacing w:after="0" w:line="240" w:lineRule="auto"/>
              <w:ind w:right="-163"/>
              <w:jc w:val="center"/>
              <w:rPr>
                <w:rFonts w:ascii="Times New Roman" w:hAnsi="Times New Roman" w:cs="Times New Roman"/>
                <w:lang w:val="uk-UA"/>
              </w:rPr>
            </w:pPr>
          </w:p>
        </w:tc>
      </w:tr>
      <w:tr w:rsidR="00BE723F" w:rsidRPr="00D5542F" w14:paraId="42E447A6" w14:textId="77777777" w:rsidTr="0024633F">
        <w:trPr>
          <w:trHeight w:val="355"/>
        </w:trPr>
        <w:tc>
          <w:tcPr>
            <w:tcW w:w="1129" w:type="dxa"/>
            <w:tcBorders>
              <w:top w:val="nil"/>
              <w:left w:val="single" w:sz="4" w:space="0" w:color="auto"/>
              <w:bottom w:val="single" w:sz="4" w:space="0" w:color="auto"/>
              <w:right w:val="single" w:sz="4" w:space="0" w:color="auto"/>
            </w:tcBorders>
            <w:shd w:val="clear" w:color="auto" w:fill="auto"/>
            <w:vAlign w:val="center"/>
          </w:tcPr>
          <w:p w14:paraId="68ADE278" w14:textId="5A8B80D0" w:rsidR="00BE723F" w:rsidRPr="00BE723F" w:rsidRDefault="00BE723F"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Pr>
                <w:rStyle w:val="af1"/>
              </w:rPr>
              <w:t>8</w:t>
            </w:r>
          </w:p>
        </w:tc>
        <w:tc>
          <w:tcPr>
            <w:tcW w:w="0" w:type="auto"/>
            <w:tcBorders>
              <w:top w:val="nil"/>
              <w:left w:val="nil"/>
              <w:bottom w:val="single" w:sz="4" w:space="0" w:color="auto"/>
              <w:right w:val="single" w:sz="4" w:space="0" w:color="auto"/>
            </w:tcBorders>
            <w:shd w:val="clear" w:color="auto" w:fill="auto"/>
            <w:noWrap/>
            <w:vAlign w:val="center"/>
          </w:tcPr>
          <w:p w14:paraId="71D5F99F" w14:textId="27E8E792"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8D63569" w14:textId="12EE3D16"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CCBBF4F" w14:textId="394222E3" w:rsidR="00BE723F" w:rsidRPr="0024633F" w:rsidRDefault="0024633F" w:rsidP="00BE723F">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7F76FC15" w14:textId="4651279A"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2B1AF49" w14:textId="3269193C"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59E4E86" w14:textId="04F9E7EB"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tcPr>
          <w:p w14:paraId="65373DB3" w14:textId="0242E30A"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0CA0BE"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346DFC3" w14:textId="0E7F7604"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2102E640" w14:textId="77777777"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747F7C0" w14:textId="77777777"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6EF833B3" w14:textId="1D77096E" w:rsidR="00BE723F" w:rsidRPr="00D5542F" w:rsidRDefault="00BE723F" w:rsidP="00BE723F">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BE723F" w:rsidRPr="00D5542F" w14:paraId="2506F44D"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23988FFC" w14:textId="796C54CD" w:rsidR="00BE723F" w:rsidRPr="00A5233E" w:rsidRDefault="00BE723F"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Pr>
                <w:rStyle w:val="af1"/>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BE723F" w:rsidRPr="00D5542F" w:rsidRDefault="00BE723F" w:rsidP="00BE723F">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56A6567F" w:rsidR="00BE723F" w:rsidRPr="00D5542F" w:rsidRDefault="002463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BE723F" w:rsidRPr="00D5542F" w:rsidRDefault="00BE723F" w:rsidP="00BE723F">
            <w:pPr>
              <w:spacing w:after="0" w:line="240" w:lineRule="auto"/>
              <w:ind w:right="-163"/>
              <w:jc w:val="center"/>
              <w:rPr>
                <w:rFonts w:ascii="Times New Roman" w:hAnsi="Times New Roman" w:cs="Times New Roman"/>
                <w:lang w:val="uk-UA"/>
              </w:rPr>
            </w:pPr>
          </w:p>
        </w:tc>
      </w:tr>
      <w:tr w:rsidR="004B0415" w:rsidRPr="00D5542F" w14:paraId="615FBB07"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6E41629D" w14:textId="74AB6EBE" w:rsidR="004B0415" w:rsidRPr="00A5233E" w:rsidRDefault="004B0415"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sidRPr="00A5233E">
              <w:rPr>
                <w:rFonts w:ascii="Times New Roman" w:hAnsi="Times New Roman" w:cs="Times New Roman"/>
                <w:vertAlign w:val="superscript"/>
                <w:lang w:val="uk-UA"/>
              </w:rPr>
              <w:t>10</w:t>
            </w:r>
          </w:p>
        </w:tc>
        <w:tc>
          <w:tcPr>
            <w:tcW w:w="0" w:type="auto"/>
            <w:tcBorders>
              <w:top w:val="nil"/>
              <w:left w:val="nil"/>
              <w:bottom w:val="single" w:sz="4" w:space="0" w:color="auto"/>
              <w:right w:val="single" w:sz="4" w:space="0" w:color="auto"/>
            </w:tcBorders>
            <w:shd w:val="clear" w:color="auto" w:fill="auto"/>
            <w:noWrap/>
            <w:vAlign w:val="center"/>
          </w:tcPr>
          <w:p w14:paraId="5D712103"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580C5338" w14:textId="7982B2FC"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BE17118" w14:textId="20F84260" w:rsidR="004B0415" w:rsidRPr="0024633F" w:rsidRDefault="0024633F" w:rsidP="004B0415">
            <w:pPr>
              <w:spacing w:after="0" w:line="240" w:lineRule="auto"/>
              <w:ind w:left="-95" w:right="-163"/>
              <w:jc w:val="center"/>
              <w:rPr>
                <w:rFonts w:ascii="Times New Roman" w:hAnsi="Times New Roman" w:cs="Times New Roman"/>
                <w:color w:val="FF0000"/>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42BC992F" w14:textId="2F138326" w:rsidR="004B0415" w:rsidRPr="00D5542F" w:rsidRDefault="00A5233E" w:rsidP="00A5233E">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84D7677" w14:textId="78FA511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EC69DA1" w14:textId="3605D106" w:rsidR="004B0415" w:rsidRPr="00352849" w:rsidRDefault="004B0415" w:rsidP="004B0415">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49A00A2" w14:textId="18309BCA"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31703D7" w14:textId="1BD5483C"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54FB49C3" w14:textId="77777777" w:rsidR="004B0415" w:rsidRPr="00D5542F" w:rsidRDefault="004B0415" w:rsidP="004B0415">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749A504" w14:textId="77777777" w:rsidR="004B0415" w:rsidRPr="00D5542F" w:rsidRDefault="004B0415" w:rsidP="004B0415">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F4C68DC" w14:textId="2525EB7B" w:rsidR="004B0415" w:rsidRPr="00D5542F" w:rsidRDefault="004B0415" w:rsidP="004B0415">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4B0415" w:rsidRPr="00D5542F" w14:paraId="736D166C"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16D6EB7E" w14:textId="77777777" w:rsidR="004B0415" w:rsidRPr="00D5542F" w:rsidRDefault="004B0415" w:rsidP="004B0415">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452B0BF8" w:rsidR="004B0415" w:rsidRPr="0024633F" w:rsidRDefault="0024633F" w:rsidP="004B0415">
            <w:pPr>
              <w:spacing w:after="0" w:line="240" w:lineRule="auto"/>
              <w:ind w:left="-95" w:right="-163"/>
              <w:jc w:val="center"/>
              <w:rPr>
                <w:rFonts w:ascii="Times New Roman" w:hAnsi="Times New Roman" w:cs="Times New Roman"/>
                <w:color w:val="FF0000"/>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BC974E3" w:rsidR="004B0415" w:rsidRPr="00352849" w:rsidRDefault="004B0415" w:rsidP="004B0415">
            <w:pPr>
              <w:spacing w:after="0"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75</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4B0415" w:rsidRPr="00D5542F" w:rsidRDefault="004B0415" w:rsidP="004B0415">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4B0415" w:rsidRPr="00D5542F" w:rsidRDefault="004B0415" w:rsidP="004B0415">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0708F4B0" w14:textId="77777777" w:rsidTr="0024633F">
        <w:trPr>
          <w:trHeight w:hRule="exact" w:val="251"/>
        </w:trPr>
        <w:tc>
          <w:tcPr>
            <w:tcW w:w="1129" w:type="dxa"/>
            <w:tcBorders>
              <w:top w:val="nil"/>
              <w:left w:val="single" w:sz="4" w:space="0" w:color="auto"/>
              <w:bottom w:val="single" w:sz="4" w:space="0" w:color="auto"/>
              <w:right w:val="single" w:sz="4" w:space="0" w:color="auto"/>
            </w:tcBorders>
            <w:shd w:val="clear" w:color="auto" w:fill="auto"/>
            <w:vAlign w:val="center"/>
          </w:tcPr>
          <w:p w14:paraId="085DA72A" w14:textId="08767108"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6D84C686" w:rsidR="004B0415" w:rsidRPr="00D5542F" w:rsidRDefault="0024633F"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37AE4B88" w14:textId="77777777" w:rsidTr="0024633F">
        <w:trPr>
          <w:trHeight w:hRule="exact" w:val="287"/>
        </w:trPr>
        <w:tc>
          <w:tcPr>
            <w:tcW w:w="1129" w:type="dxa"/>
            <w:tcBorders>
              <w:top w:val="nil"/>
              <w:left w:val="single" w:sz="4" w:space="0" w:color="auto"/>
              <w:bottom w:val="single" w:sz="4" w:space="0" w:color="auto"/>
              <w:right w:val="single" w:sz="4" w:space="0" w:color="auto"/>
            </w:tcBorders>
            <w:shd w:val="clear" w:color="auto" w:fill="auto"/>
            <w:vAlign w:val="center"/>
          </w:tcPr>
          <w:p w14:paraId="04A6F0F7" w14:textId="63CC12E0"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12</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4B0415" w:rsidRPr="00D5542F" w:rsidRDefault="004B0415" w:rsidP="004B0415">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4B0415" w:rsidRPr="00D5542F" w:rsidRDefault="004B0415" w:rsidP="004B0415">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224BFD2E" w:rsidR="004B0415" w:rsidRPr="0024633F" w:rsidRDefault="0024633F" w:rsidP="004B0415">
            <w:pPr>
              <w:spacing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23E515E2" w:rsidR="004B0415" w:rsidRPr="00352849" w:rsidRDefault="004B0415" w:rsidP="004B0415">
            <w:pPr>
              <w:spacing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74</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4B0415" w:rsidRPr="00D5542F" w:rsidRDefault="004B0415" w:rsidP="004B0415">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24633F" w:rsidRPr="00D5542F" w14:paraId="74B43D8D"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24633F" w:rsidRPr="00D5542F" w:rsidRDefault="0024633F" w:rsidP="002463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24633F" w:rsidRPr="00D5542F" w:rsidRDefault="0024633F" w:rsidP="0024633F">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24633F" w:rsidRPr="00D5542F" w:rsidRDefault="0024633F" w:rsidP="0024633F">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hideMark/>
          </w:tcPr>
          <w:p w14:paraId="0E5A7A65" w14:textId="54967977" w:rsidR="0024633F" w:rsidRPr="00D5542F" w:rsidRDefault="0024633F" w:rsidP="00C50AFA">
            <w:pPr>
              <w:spacing w:line="240" w:lineRule="auto"/>
              <w:ind w:left="-95" w:right="-163"/>
              <w:jc w:val="center"/>
              <w:rPr>
                <w:rFonts w:ascii="Times New Roman" w:hAnsi="Times New Roman" w:cs="Times New Roman"/>
                <w:lang w:val="uk-UA"/>
              </w:rPr>
            </w:pPr>
            <w:r w:rsidRPr="00AC23AF">
              <w:rPr>
                <w:rFonts w:ascii="Times New Roman" w:hAnsi="Times New Roman" w:cs="Times New Roman"/>
                <w:lang w:val="uk-UA"/>
              </w:rPr>
              <w:t>≠#</w:t>
            </w:r>
            <w:r w:rsidR="00C50AFA">
              <w:rPr>
                <w:rFonts w:ascii="Times New Roman" w:hAnsi="Times New Roman" w:cs="Times New Roman"/>
                <w:lang w:val="en-US"/>
              </w:rPr>
              <w:t>,</w:t>
            </w:r>
            <w:r w:rsidR="00C50AFA" w:rsidRPr="00C50AFA">
              <w:rPr>
                <w:rFonts w:ascii="Times New Roman" w:hAnsi="Times New Roman" w:cs="Times New Roman"/>
                <w:color w:val="FF0000"/>
                <w:lang w:val="en-US"/>
              </w:rPr>
              <w:t>0,</w:t>
            </w:r>
            <w:r w:rsidRPr="00AC23A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24633F" w:rsidRPr="00352849" w:rsidRDefault="0024633F" w:rsidP="0024633F">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24633F" w:rsidRPr="00D5542F" w:rsidRDefault="0024633F" w:rsidP="0024633F">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24633F" w:rsidRPr="00D5542F" w:rsidRDefault="0024633F" w:rsidP="002463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24633F" w:rsidRPr="00D5542F" w:rsidRDefault="0024633F" w:rsidP="0024633F">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24633F" w:rsidRPr="00D5542F" w:rsidRDefault="0024633F" w:rsidP="0024633F">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24633F" w:rsidRPr="00D5542F" w:rsidRDefault="0024633F" w:rsidP="0024633F">
            <w:pPr>
              <w:spacing w:line="240" w:lineRule="auto"/>
              <w:ind w:right="-163"/>
              <w:jc w:val="center"/>
              <w:rPr>
                <w:rFonts w:ascii="Times New Roman" w:hAnsi="Times New Roman" w:cs="Times New Roman"/>
                <w:lang w:val="uk-UA"/>
              </w:rPr>
            </w:pPr>
          </w:p>
        </w:tc>
      </w:tr>
      <w:tr w:rsidR="0024633F" w:rsidRPr="00D5542F" w14:paraId="02C75AB5"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24633F" w:rsidRPr="00D5542F" w:rsidRDefault="0024633F" w:rsidP="002463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24633F" w:rsidRPr="00D5542F" w:rsidRDefault="0024633F" w:rsidP="0024633F">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24633F" w:rsidRPr="00D5542F" w:rsidRDefault="0024633F" w:rsidP="0024633F">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hideMark/>
          </w:tcPr>
          <w:p w14:paraId="5F9DD31F" w14:textId="2BB34E52" w:rsidR="0024633F" w:rsidRPr="00D5542F" w:rsidRDefault="00C50AFA" w:rsidP="0024633F">
            <w:pPr>
              <w:spacing w:line="240" w:lineRule="auto"/>
              <w:ind w:left="-95" w:right="-163"/>
              <w:jc w:val="center"/>
              <w:rPr>
                <w:rFonts w:ascii="Times New Roman" w:hAnsi="Times New Roman" w:cs="Times New Roman"/>
                <w:lang w:val="uk-UA"/>
              </w:rPr>
            </w:pPr>
            <w:r w:rsidRPr="00AC23AF">
              <w:rPr>
                <w:rFonts w:ascii="Times New Roman" w:hAnsi="Times New Roman" w:cs="Times New Roman"/>
                <w:lang w:val="uk-UA"/>
              </w:rPr>
              <w:t>≠#</w:t>
            </w:r>
            <w:r>
              <w:rPr>
                <w:rFonts w:ascii="Times New Roman" w:hAnsi="Times New Roman" w:cs="Times New Roman"/>
                <w:lang w:val="en-US"/>
              </w:rPr>
              <w:t>,</w:t>
            </w:r>
            <w:r w:rsidRPr="00C50AFA">
              <w:rPr>
                <w:rFonts w:ascii="Times New Roman" w:hAnsi="Times New Roman" w:cs="Times New Roman"/>
                <w:color w:val="FF0000"/>
                <w:lang w:val="en-US"/>
              </w:rPr>
              <w:t>0,</w:t>
            </w:r>
            <w:r w:rsidRPr="00AC23A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24633F" w:rsidRPr="00352849" w:rsidRDefault="0024633F" w:rsidP="0024633F">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24633F" w:rsidRPr="00D5542F" w:rsidRDefault="0024633F" w:rsidP="0024633F">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24633F" w:rsidRPr="00D5542F" w:rsidRDefault="0024633F" w:rsidP="002463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24633F" w:rsidRPr="00D5542F" w:rsidRDefault="0024633F" w:rsidP="0024633F">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24633F" w:rsidRPr="00D5542F" w:rsidRDefault="0024633F" w:rsidP="0024633F">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24633F" w:rsidRPr="00D5542F" w:rsidRDefault="0024633F" w:rsidP="0024633F">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0488659A" w14:textId="77777777" w:rsidR="00213DD1" w:rsidRDefault="003353ED" w:rsidP="003353ED">
      <w:pPr>
        <w:tabs>
          <w:tab w:val="left" w:pos="567"/>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b/>
      </w:r>
    </w:p>
    <w:p w14:paraId="3C0517E3" w14:textId="77777777" w:rsidR="00213DD1" w:rsidRDefault="00213DD1" w:rsidP="003353ED">
      <w:pPr>
        <w:tabs>
          <w:tab w:val="left" w:pos="567"/>
        </w:tabs>
        <w:spacing w:after="0" w:line="240" w:lineRule="auto"/>
        <w:jc w:val="both"/>
        <w:rPr>
          <w:rFonts w:ascii="Times New Roman" w:hAnsi="Times New Roman" w:cs="Times New Roman"/>
          <w:sz w:val="28"/>
          <w:szCs w:val="28"/>
          <w:lang w:val="uk-UA"/>
        </w:rPr>
      </w:pPr>
    </w:p>
    <w:p w14:paraId="532D3E31" w14:textId="6D60F788" w:rsidR="003353ED" w:rsidRPr="006122A0" w:rsidRDefault="003353ED" w:rsidP="00213DD1">
      <w:pPr>
        <w:tabs>
          <w:tab w:val="left" w:pos="567"/>
        </w:tabs>
        <w:spacing w:after="0" w:line="240" w:lineRule="auto"/>
        <w:ind w:firstLine="567"/>
        <w:jc w:val="both"/>
        <w:rPr>
          <w:rFonts w:ascii="Times New Roman" w:hAnsi="Times New Roman" w:cs="Times New Roman"/>
          <w:sz w:val="28"/>
          <w:szCs w:val="28"/>
        </w:rPr>
      </w:pPr>
      <w:r w:rsidRPr="006122A0">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130 містяться у довіднику можливих сполучень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 xml:space="preserve">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w:t>
      </w:r>
      <w:r w:rsidRPr="00D5542F">
        <w:rPr>
          <w:rFonts w:ascii="Times New Roman" w:eastAsia="Times New Roman" w:hAnsi="Times New Roman" w:cs="Times New Roman"/>
          <w:sz w:val="28"/>
          <w:szCs w:val="28"/>
          <w:lang w:val="uk-UA" w:eastAsia="uk-UA"/>
        </w:rPr>
        <w:lastRenderedPageBreak/>
        <w:t>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941139"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20288EF" w14:textId="77777777" w:rsidR="000E4DAC" w:rsidRPr="00941139" w:rsidRDefault="000E4DAC" w:rsidP="000E4DAC">
      <w:pPr>
        <w:pStyle w:val="a4"/>
        <w:tabs>
          <w:tab w:val="left" w:pos="462"/>
        </w:tabs>
        <w:ind w:left="30"/>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26FC432C" w14:textId="38F6FFB8" w:rsidR="000E4DAC" w:rsidRPr="00941139" w:rsidRDefault="00EE12C9" w:rsidP="00AA6994">
      <w:pPr>
        <w:tabs>
          <w:tab w:val="left" w:pos="567"/>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uk-UA"/>
        </w:rPr>
        <w:t xml:space="preserve"> </w:t>
      </w:r>
      <w:r w:rsidR="000E4DAC" w:rsidRPr="00941139">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61949E59" w14:textId="77777777" w:rsidR="00B56AC5" w:rsidRPr="006F6EF1" w:rsidRDefault="000E4DAC" w:rsidP="00AA6994">
      <w:pPr>
        <w:pStyle w:val="a4"/>
        <w:tabs>
          <w:tab w:val="left" w:pos="851"/>
        </w:tabs>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w:t>
      </w:r>
      <w:r w:rsidRPr="006F6EF1">
        <w:rPr>
          <w:rFonts w:ascii="Times New Roman" w:eastAsia="Times New Roman" w:hAnsi="Times New Roman" w:cs="Times New Roman"/>
          <w:sz w:val="28"/>
          <w:szCs w:val="28"/>
        </w:rPr>
        <w:t>днів прострочення.</w:t>
      </w:r>
    </w:p>
    <w:p w14:paraId="51F70DAB" w14:textId="289B1C2C" w:rsidR="00B56AC5" w:rsidRPr="006F6EF1" w:rsidRDefault="00B56AC5" w:rsidP="00AA6994">
      <w:pPr>
        <w:pStyle w:val="a4"/>
        <w:tabs>
          <w:tab w:val="left" w:pos="851"/>
        </w:tabs>
        <w:spacing w:after="0" w:line="240" w:lineRule="auto"/>
        <w:ind w:left="0" w:firstLine="567"/>
        <w:jc w:val="both"/>
        <w:rPr>
          <w:rFonts w:ascii="Times New Roman" w:hAnsi="Times New Roman" w:cs="Times New Roman"/>
          <w:sz w:val="28"/>
          <w:szCs w:val="28"/>
        </w:rPr>
      </w:pPr>
      <w:r w:rsidRPr="006F6EF1">
        <w:rPr>
          <w:rFonts w:ascii="Times New Roman" w:eastAsia="Times New Roman" w:hAnsi="Times New Roman" w:cs="Times New Roman"/>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p>
    <w:p w14:paraId="0A8C4932" w14:textId="124142DA" w:rsidR="000E4DAC" w:rsidRPr="006F6EF1" w:rsidRDefault="000E4DAC" w:rsidP="00606410">
      <w:pPr>
        <w:tabs>
          <w:tab w:val="left" w:pos="851"/>
        </w:tabs>
        <w:spacing w:after="0" w:line="240" w:lineRule="auto"/>
        <w:rPr>
          <w:rFonts w:ascii="Times New Roman" w:hAnsi="Times New Roman"/>
          <w:sz w:val="28"/>
          <w:szCs w:val="28"/>
          <w:highlight w:val="yellow"/>
          <w:lang w:eastAsia="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06802A31" w:rsidR="000B7EDC" w:rsidRPr="00941139" w:rsidRDefault="000B7EDC" w:rsidP="00D44273">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 xml:space="preserve">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w:t>
      </w:r>
      <w:r w:rsidRPr="00941139">
        <w:rPr>
          <w:rFonts w:ascii="Times New Roman" w:eastAsia="Times New Roman" w:hAnsi="Times New Roman" w:cs="Times New Roman"/>
          <w:sz w:val="28"/>
          <w:szCs w:val="28"/>
          <w:lang w:val="uk-UA" w:eastAsia="uk-UA"/>
        </w:rPr>
        <w:lastRenderedPageBreak/>
        <w:t>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46, 48, 49, 98 або 99</w:t>
      </w:r>
      <w:r w:rsidRPr="00941139">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941139">
        <w:rPr>
          <w:rFonts w:ascii="Times New Roman" w:eastAsia="Times New Roman" w:hAnsi="Times New Roman" w:cs="Times New Roman"/>
          <w:sz w:val="28"/>
          <w:szCs w:val="28"/>
          <w:lang w:eastAsia="uk-UA"/>
        </w:rPr>
        <w:t xml:space="preserve">. </w:t>
      </w:r>
      <w:r w:rsidR="00D44273" w:rsidRPr="00D44273">
        <w:rPr>
          <w:rFonts w:ascii="Times New Roman" w:eastAsia="Times New Roman" w:hAnsi="Times New Roman" w:cs="Times New Roman"/>
          <w:color w:val="FF0000"/>
          <w:sz w:val="28"/>
          <w:szCs w:val="28"/>
          <w:lang w:val="uk-UA" w:eastAsia="uk-UA"/>
        </w:rPr>
        <w:t>При визначенні найбільшого за вартістю виду забезпечення не враховується вартість порук, наданих фізичними та юридичними особами.</w:t>
      </w:r>
      <w:r w:rsidR="00D44273">
        <w:rPr>
          <w:rFonts w:ascii="Times New Roman" w:eastAsia="Times New Roman" w:hAnsi="Times New Roman" w:cs="Times New Roman"/>
          <w:color w:val="FF0000"/>
          <w:sz w:val="28"/>
          <w:szCs w:val="28"/>
          <w:lang w:val="uk-UA" w:eastAsia="uk-UA"/>
        </w:rPr>
        <w:t xml:space="preserve"> </w:t>
      </w:r>
      <w:r w:rsidR="0086627C" w:rsidRPr="00941139">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941139">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AA6994">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95B152E" w14:textId="77777777" w:rsidR="00220D73" w:rsidRPr="00220D73" w:rsidRDefault="00220D73" w:rsidP="00220D73">
      <w:pPr>
        <w:pStyle w:val="a4"/>
        <w:numPr>
          <w:ilvl w:val="0"/>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417256CD"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665E0FEF"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38922232"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216ECC83"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06FD1D33"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670B046B" w14:textId="528B3082" w:rsidR="00C50AFA" w:rsidRPr="00C50AFA" w:rsidRDefault="00C50AFA" w:rsidP="00C50AFA">
      <w:pPr>
        <w:pStyle w:val="a4"/>
        <w:numPr>
          <w:ilvl w:val="1"/>
          <w:numId w:val="29"/>
        </w:numPr>
        <w:tabs>
          <w:tab w:val="left" w:pos="1134"/>
        </w:tabs>
        <w:spacing w:after="0" w:line="240" w:lineRule="auto"/>
        <w:ind w:left="39" w:firstLine="425"/>
        <w:jc w:val="both"/>
        <w:rPr>
          <w:rFonts w:ascii="Times New Roman" w:eastAsia="Times New Roman" w:hAnsi="Times New Roman" w:cs="Times New Roman"/>
          <w:color w:val="FF0000"/>
          <w:sz w:val="28"/>
          <w:szCs w:val="28"/>
          <w:lang w:eastAsia="uk-UA"/>
        </w:rPr>
      </w:pPr>
      <w:r w:rsidRPr="00DB064F">
        <w:rPr>
          <w:rFonts w:ascii="Times New Roman" w:eastAsia="Times New Roman" w:hAnsi="Times New Roman" w:cs="Times New Roman"/>
          <w:sz w:val="28"/>
          <w:szCs w:val="28"/>
          <w:lang w:eastAsia="uk-UA"/>
        </w:rPr>
        <w:t>Параметр S083 відображає код типу оцінки кредитного ризику згідно з Положенням №351</w:t>
      </w:r>
      <w:r w:rsidRPr="00C50AFA">
        <w:rPr>
          <w:rFonts w:ascii="Times New Roman" w:eastAsia="Times New Roman" w:hAnsi="Times New Roman" w:cs="Times New Roman"/>
          <w:color w:val="FF0000"/>
          <w:sz w:val="28"/>
          <w:szCs w:val="28"/>
          <w:lang w:eastAsia="uk-UA"/>
        </w:rPr>
        <w:t xml:space="preserve">: </w:t>
      </w:r>
    </w:p>
    <w:p w14:paraId="2CB56972" w14:textId="74B21E14" w:rsidR="00C50AFA" w:rsidRPr="00C50AFA" w:rsidRDefault="00C50AFA" w:rsidP="00C50AFA">
      <w:pPr>
        <w:pStyle w:val="a4"/>
        <w:ind w:left="0"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 xml:space="preserve">а) зі значенням S083=0 – для активів, за якими банк визначає клас 1 боржника та значення коефіцієнта PD, що дорівнює </w:t>
      </w:r>
      <w:r w:rsidR="002573ED" w:rsidRPr="002573ED">
        <w:rPr>
          <w:rFonts w:ascii="Times New Roman" w:eastAsia="Times New Roman" w:hAnsi="Times New Roman" w:cs="Times New Roman"/>
          <w:color w:val="FF0000"/>
          <w:sz w:val="28"/>
          <w:szCs w:val="28"/>
          <w:lang w:val="uk-UA" w:eastAsia="uk-UA"/>
        </w:rPr>
        <w:t>“</w:t>
      </w:r>
      <w:r w:rsidRPr="002573ED">
        <w:rPr>
          <w:rFonts w:ascii="Times New Roman" w:eastAsia="Times New Roman" w:hAnsi="Times New Roman" w:cs="Times New Roman"/>
          <w:color w:val="FF0000"/>
          <w:sz w:val="28"/>
          <w:szCs w:val="28"/>
          <w:lang w:eastAsia="uk-UA"/>
        </w:rPr>
        <w:t>0</w:t>
      </w:r>
      <w:r w:rsidR="002573ED" w:rsidRPr="002573ED">
        <w:rPr>
          <w:rFonts w:ascii="Times New Roman" w:eastAsia="Times New Roman" w:hAnsi="Times New Roman" w:cs="Times New Roman"/>
          <w:color w:val="FF0000"/>
          <w:sz w:val="28"/>
          <w:szCs w:val="28"/>
          <w:lang w:val="uk-UA" w:eastAsia="uk-UA"/>
        </w:rPr>
        <w:t>”</w:t>
      </w:r>
      <w:r w:rsidRPr="002573ED">
        <w:rPr>
          <w:rFonts w:ascii="Times New Roman" w:eastAsia="Times New Roman" w:hAnsi="Times New Roman" w:cs="Times New Roman"/>
          <w:color w:val="FF0000"/>
          <w:sz w:val="28"/>
          <w:szCs w:val="28"/>
          <w:lang w:eastAsia="uk-UA"/>
        </w:rPr>
        <w:t xml:space="preserve"> </w:t>
      </w:r>
      <w:r w:rsidRPr="00C50AFA">
        <w:rPr>
          <w:rFonts w:ascii="Times New Roman" w:eastAsia="Times New Roman" w:hAnsi="Times New Roman" w:cs="Times New Roman"/>
          <w:color w:val="FF0000"/>
          <w:sz w:val="28"/>
          <w:szCs w:val="28"/>
          <w:lang w:eastAsia="uk-UA"/>
        </w:rPr>
        <w:t>згідно з пунктами 41, 140 та 151 Положення № 351;</w:t>
      </w:r>
    </w:p>
    <w:p w14:paraId="469AF575" w14:textId="77777777" w:rsidR="00C50AFA" w:rsidRPr="00C50AFA" w:rsidRDefault="00C50AFA" w:rsidP="00C50AFA">
      <w:pPr>
        <w:pStyle w:val="a4"/>
        <w:ind w:left="0"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б) зі значеннями S083=1,2,3 – для активів, за якими банк визначає кредитний ризик згідно з Положенням № 351;</w:t>
      </w:r>
    </w:p>
    <w:p w14:paraId="41C76870" w14:textId="77777777" w:rsidR="00C50AFA" w:rsidRPr="00C50AFA" w:rsidRDefault="00C50AFA" w:rsidP="00C50AFA">
      <w:pPr>
        <w:pStyle w:val="a4"/>
        <w:ind w:left="0"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в) зі значенням S083=9 – для активів, за якими не здійснюється оцінка кредитного ризику згідно з Положенням № 351.</w:t>
      </w:r>
    </w:p>
    <w:p w14:paraId="36E3C3F8" w14:textId="77777777" w:rsidR="00220D73" w:rsidRPr="00220D73" w:rsidRDefault="00220D73" w:rsidP="00220D73">
      <w:pPr>
        <w:pStyle w:val="a4"/>
        <w:tabs>
          <w:tab w:val="left" w:pos="1134"/>
        </w:tabs>
        <w:spacing w:after="0" w:line="240" w:lineRule="auto"/>
        <w:ind w:left="0" w:firstLine="567"/>
        <w:jc w:val="both"/>
        <w:rPr>
          <w:rFonts w:ascii="Times New Roman" w:eastAsia="Times New Roman" w:hAnsi="Times New Roman" w:cs="Times New Roman"/>
          <w:sz w:val="28"/>
          <w:szCs w:val="28"/>
          <w:lang w:eastAsia="uk-UA"/>
        </w:rPr>
      </w:pPr>
    </w:p>
    <w:p w14:paraId="748BAD96" w14:textId="53B6BD47" w:rsidR="000F7EA6" w:rsidRPr="006F6EF1" w:rsidRDefault="000F7EA6" w:rsidP="00220D73">
      <w:pPr>
        <w:pStyle w:val="a4"/>
        <w:numPr>
          <w:ilvl w:val="1"/>
          <w:numId w:val="2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Параметр</w:t>
      </w:r>
      <w:r w:rsidRPr="00941139">
        <w:rPr>
          <w:rFonts w:ascii="Times New Roman" w:hAnsi="Times New Roman" w:cs="Times New Roman"/>
          <w:sz w:val="28"/>
          <w:szCs w:val="28"/>
        </w:rPr>
        <w:t xml:space="preserve"> S190 відображає строк прострочення погашення боргу за фінансовим інструментом, визначений згідно з пунктом 36 Положення № 351. 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w:t>
      </w:r>
      <w:r w:rsidRPr="006F6EF1">
        <w:rPr>
          <w:rFonts w:ascii="Times New Roman" w:hAnsi="Times New Roman" w:cs="Times New Roman"/>
          <w:sz w:val="28"/>
          <w:szCs w:val="28"/>
        </w:rPr>
        <w:t>простроченим.</w:t>
      </w:r>
    </w:p>
    <w:p w14:paraId="7FAA62CF" w14:textId="77777777" w:rsidR="00B56AC5" w:rsidRPr="006F6EF1" w:rsidRDefault="00B56AC5" w:rsidP="00220D73">
      <w:pPr>
        <w:pStyle w:val="a4"/>
        <w:ind w:left="0" w:firstLine="567"/>
        <w:rPr>
          <w:rFonts w:ascii="Times New Roman" w:eastAsia="Times New Roman" w:hAnsi="Times New Roman" w:cs="Times New Roman"/>
          <w:sz w:val="28"/>
          <w:szCs w:val="28"/>
          <w:lang w:eastAsia="uk-UA"/>
        </w:rPr>
      </w:pPr>
    </w:p>
    <w:p w14:paraId="5838346E" w14:textId="77777777" w:rsidR="008A1F63" w:rsidRPr="006F6EF1" w:rsidRDefault="00B56AC5" w:rsidP="00220D73">
      <w:pPr>
        <w:pStyle w:val="a4"/>
        <w:numPr>
          <w:ilvl w:val="1"/>
          <w:numId w:val="2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F6EF1">
        <w:rPr>
          <w:rFonts w:ascii="Times New Roman" w:hAnsi="Times New Roman" w:cs="Times New Roman"/>
          <w:sz w:val="28"/>
          <w:szCs w:val="28"/>
        </w:rPr>
        <w:lastRenderedPageBreak/>
        <w:t xml:space="preserve">Параметр S080 відображає клас боржника/контрагента, визначений згідно з Положенням № 351 та наявність/відсутність ознак непрацюючого активу згідно з Положенням № 97. Активи боржника за якими визнано найгірший клас (10, 5, 2 клас в залежності від виду боржника/контрагента) відповідно до Положення № 351, відображаються з такими значеннями параметра: </w:t>
      </w:r>
    </w:p>
    <w:p w14:paraId="7FE6D662" w14:textId="77777777" w:rsidR="008A1F63" w:rsidRPr="006F6EF1" w:rsidRDefault="00B56AC5" w:rsidP="008A1F63">
      <w:pPr>
        <w:tabs>
          <w:tab w:val="left" w:pos="851"/>
        </w:tabs>
        <w:spacing w:after="0" w:line="240" w:lineRule="auto"/>
        <w:ind w:firstLine="567"/>
        <w:jc w:val="both"/>
        <w:rPr>
          <w:rFonts w:ascii="Times New Roman" w:hAnsi="Times New Roman" w:cs="Times New Roman"/>
          <w:sz w:val="28"/>
          <w:szCs w:val="28"/>
        </w:rPr>
      </w:pPr>
      <w:r w:rsidRPr="006F6EF1">
        <w:rPr>
          <w:rFonts w:ascii="Times New Roman" w:hAnsi="Times New Roman" w:cs="Times New Roman"/>
          <w:sz w:val="28"/>
          <w:szCs w:val="28"/>
        </w:rPr>
        <w:t xml:space="preserve">а) R, T, V – для активів, які визнано потенційно проблемними згідно з абзацом 3 підпункту 16 пункту 4 Положення № 97; </w:t>
      </w:r>
    </w:p>
    <w:p w14:paraId="24882B6E" w14:textId="57B96F11" w:rsidR="00B56AC5" w:rsidRPr="006F6EF1" w:rsidRDefault="00B56AC5" w:rsidP="008A1F63">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6F6EF1">
        <w:rPr>
          <w:rFonts w:ascii="Times New Roman" w:hAnsi="Times New Roman" w:cs="Times New Roman"/>
          <w:sz w:val="28"/>
          <w:szCs w:val="28"/>
        </w:rPr>
        <w:t>б) S, U, W – для інших активів, які визнано непрацюючими активами відповідно до Положення № 97.</w:t>
      </w:r>
    </w:p>
    <w:p w14:paraId="6BB3E6DA" w14:textId="2E8F685D" w:rsidR="00C50AFA" w:rsidRDefault="00C50AFA" w:rsidP="00C50AFA">
      <w:pPr>
        <w:pStyle w:val="a4"/>
        <w:spacing w:after="0" w:line="240" w:lineRule="auto"/>
        <w:ind w:left="36" w:firstLine="531"/>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За активами, за якими не здійснюється оцінка кредитного р</w:t>
      </w:r>
      <w:r w:rsidR="00827959">
        <w:rPr>
          <w:rFonts w:ascii="Times New Roman" w:eastAsia="Times New Roman" w:hAnsi="Times New Roman" w:cs="Times New Roman"/>
          <w:color w:val="FF0000"/>
          <w:sz w:val="28"/>
          <w:szCs w:val="28"/>
          <w:lang w:eastAsia="uk-UA"/>
        </w:rPr>
        <w:t>изику згідно з Положенням № 351</w:t>
      </w:r>
      <w:r w:rsidR="00827959">
        <w:rPr>
          <w:rFonts w:ascii="Times New Roman" w:eastAsia="Times New Roman" w:hAnsi="Times New Roman" w:cs="Times New Roman"/>
          <w:color w:val="FF0000"/>
          <w:sz w:val="28"/>
          <w:szCs w:val="28"/>
          <w:lang w:val="uk-UA" w:eastAsia="uk-UA"/>
        </w:rPr>
        <w:t xml:space="preserve">, </w:t>
      </w:r>
      <w:r w:rsidR="00827959">
        <w:rPr>
          <w:rFonts w:ascii="Times New Roman" w:eastAsia="Times New Roman" w:hAnsi="Times New Roman" w:cs="Times New Roman"/>
          <w:color w:val="FF0000"/>
          <w:sz w:val="28"/>
          <w:szCs w:val="28"/>
          <w:lang w:eastAsia="uk-UA"/>
        </w:rPr>
        <w:t xml:space="preserve">зазначається значення </w:t>
      </w:r>
      <w:r w:rsidR="00827959" w:rsidRPr="00C50AFA">
        <w:rPr>
          <w:rFonts w:ascii="Times New Roman" w:eastAsia="Times New Roman" w:hAnsi="Times New Roman" w:cs="Times New Roman"/>
          <w:color w:val="FF0000"/>
          <w:sz w:val="28"/>
          <w:szCs w:val="28"/>
          <w:lang w:eastAsia="uk-UA"/>
        </w:rPr>
        <w:t>параметр</w:t>
      </w:r>
      <w:r w:rsidR="00827959">
        <w:rPr>
          <w:rFonts w:ascii="Times New Roman" w:eastAsia="Times New Roman" w:hAnsi="Times New Roman" w:cs="Times New Roman"/>
          <w:color w:val="FF0000"/>
          <w:sz w:val="28"/>
          <w:szCs w:val="28"/>
          <w:lang w:eastAsia="uk-UA"/>
        </w:rPr>
        <w:t>а</w:t>
      </w:r>
      <w:r w:rsidR="00827959" w:rsidRPr="00C50AFA">
        <w:rPr>
          <w:rFonts w:ascii="Times New Roman" w:eastAsia="Times New Roman" w:hAnsi="Times New Roman" w:cs="Times New Roman"/>
          <w:color w:val="FF0000"/>
          <w:sz w:val="28"/>
          <w:szCs w:val="28"/>
          <w:lang w:eastAsia="uk-UA"/>
        </w:rPr>
        <w:t xml:space="preserve"> S080=#</w:t>
      </w:r>
      <w:r w:rsidRPr="00C50AFA">
        <w:rPr>
          <w:rFonts w:ascii="Times New Roman" w:eastAsia="Times New Roman" w:hAnsi="Times New Roman" w:cs="Times New Roman"/>
          <w:color w:val="FF0000"/>
          <w:sz w:val="28"/>
          <w:szCs w:val="28"/>
          <w:lang w:eastAsia="uk-UA"/>
        </w:rPr>
        <w:t>.</w:t>
      </w:r>
    </w:p>
    <w:p w14:paraId="2AF31738" w14:textId="77777777" w:rsidR="00DF1D07" w:rsidRPr="002573ED" w:rsidRDefault="00DF1D07" w:rsidP="00C50AFA">
      <w:pPr>
        <w:pStyle w:val="a4"/>
        <w:spacing w:after="0" w:line="240" w:lineRule="auto"/>
        <w:ind w:left="36" w:firstLine="531"/>
        <w:jc w:val="both"/>
        <w:rPr>
          <w:rFonts w:ascii="Times New Roman" w:eastAsia="Times New Roman" w:hAnsi="Times New Roman" w:cs="Times New Roman"/>
          <w:color w:val="FF0000"/>
          <w:sz w:val="28"/>
          <w:szCs w:val="28"/>
          <w:lang w:eastAsia="uk-UA"/>
        </w:rPr>
      </w:pPr>
    </w:p>
    <w:p w14:paraId="2EB6B346" w14:textId="539A457A" w:rsidR="00DF1D07" w:rsidRPr="00827959" w:rsidRDefault="00DF1D07"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DF1D07">
        <w:rPr>
          <w:rFonts w:ascii="Times New Roman" w:eastAsia="Times New Roman" w:hAnsi="Times New Roman" w:cs="Times New Roman"/>
          <w:color w:val="FF0000"/>
          <w:sz w:val="28"/>
          <w:szCs w:val="28"/>
          <w:lang w:eastAsia="uk-UA"/>
        </w:rPr>
        <w:t>5.9. Параметр K140 відображає розмір суб</w:t>
      </w:r>
      <w:r w:rsidR="00C4420E">
        <w:rPr>
          <w:rFonts w:ascii="Times New Roman" w:eastAsia="Times New Roman" w:hAnsi="Times New Roman" w:cs="Times New Roman"/>
          <w:color w:val="FF0000"/>
          <w:sz w:val="28"/>
          <w:szCs w:val="28"/>
          <w:lang w:val="uk-UA" w:eastAsia="uk-UA"/>
        </w:rPr>
        <w:t>’</w:t>
      </w:r>
      <w:r w:rsidRPr="00DF1D07">
        <w:rPr>
          <w:rFonts w:ascii="Times New Roman" w:eastAsia="Times New Roman" w:hAnsi="Times New Roman" w:cs="Times New Roman"/>
          <w:color w:val="FF0000"/>
          <w:sz w:val="28"/>
          <w:szCs w:val="28"/>
          <w:lang w:eastAsia="uk-UA"/>
        </w:rPr>
        <w:t xml:space="preserve">єкта </w:t>
      </w:r>
      <w:r w:rsidR="00827959">
        <w:rPr>
          <w:rFonts w:ascii="Times New Roman" w:eastAsia="Times New Roman" w:hAnsi="Times New Roman" w:cs="Times New Roman"/>
          <w:color w:val="FF0000"/>
          <w:sz w:val="28"/>
          <w:szCs w:val="28"/>
          <w:lang w:eastAsia="uk-UA"/>
        </w:rPr>
        <w:t>господарювання (довідник K140)</w:t>
      </w:r>
      <w:r w:rsidR="00827959">
        <w:rPr>
          <w:rFonts w:ascii="Times New Roman" w:eastAsia="Times New Roman" w:hAnsi="Times New Roman" w:cs="Times New Roman"/>
          <w:color w:val="FF0000"/>
          <w:sz w:val="28"/>
          <w:szCs w:val="28"/>
          <w:lang w:val="uk-UA" w:eastAsia="uk-UA"/>
        </w:rPr>
        <w:t>:</w:t>
      </w:r>
    </w:p>
    <w:p w14:paraId="5F361075" w14:textId="77777777" w:rsidR="00827959" w:rsidRPr="00827959" w:rsidRDefault="00827959"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827959">
        <w:rPr>
          <w:rFonts w:ascii="Times New Roman" w:eastAsia="Times New Roman" w:hAnsi="Times New Roman" w:cs="Times New Roman"/>
          <w:color w:val="FF0000"/>
          <w:sz w:val="28"/>
          <w:szCs w:val="28"/>
          <w:lang w:val="uk-UA" w:eastAsia="uk-UA"/>
        </w:rPr>
        <w:t xml:space="preserve">а) розмір суб’єкта господарювання (значення параметра </w:t>
      </w:r>
      <w:r w:rsidRPr="001A4135">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val="uk-UA" w:eastAsia="uk-UA"/>
        </w:rPr>
        <w:t>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38224261" w14:textId="2042430B" w:rsidR="00827959" w:rsidRPr="00D44273" w:rsidRDefault="00827959"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D44273">
        <w:rPr>
          <w:rFonts w:ascii="Times New Roman" w:eastAsia="Times New Roman" w:hAnsi="Times New Roman" w:cs="Times New Roman"/>
          <w:color w:val="FF0000"/>
          <w:sz w:val="28"/>
          <w:szCs w:val="28"/>
          <w:lang w:val="uk-UA" w:eastAsia="uk-UA"/>
        </w:rPr>
        <w:t xml:space="preserve">Згідно з пунктом 55 розділу </w:t>
      </w:r>
      <w:r w:rsidRPr="001A4135">
        <w:rPr>
          <w:rFonts w:ascii="Times New Roman" w:eastAsia="Times New Roman" w:hAnsi="Times New Roman" w:cs="Times New Roman"/>
          <w:color w:val="FF0000"/>
          <w:sz w:val="28"/>
          <w:szCs w:val="28"/>
          <w:lang w:eastAsia="uk-UA"/>
        </w:rPr>
        <w:t>IV</w:t>
      </w:r>
      <w:r w:rsidRPr="00D44273">
        <w:rPr>
          <w:rFonts w:ascii="Times New Roman" w:eastAsia="Times New Roman" w:hAnsi="Times New Roman" w:cs="Times New Roman"/>
          <w:color w:val="FF0000"/>
          <w:sz w:val="28"/>
          <w:szCs w:val="28"/>
          <w:lang w:val="uk-UA" w:eastAsia="uk-UA"/>
        </w:rPr>
        <w:t xml:space="preserve">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вебпорталі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w:t>
      </w:r>
      <w:r w:rsidR="001244BC" w:rsidRPr="00D44273">
        <w:rPr>
          <w:rFonts w:ascii="Times New Roman" w:eastAsia="Times New Roman" w:hAnsi="Times New Roman" w:cs="Times New Roman"/>
          <w:color w:val="FF0000"/>
          <w:sz w:val="28"/>
          <w:szCs w:val="28"/>
          <w:lang w:val="uk-UA" w:eastAsia="uk-UA"/>
        </w:rPr>
        <w:t>вого ринку.</w:t>
      </w:r>
    </w:p>
    <w:p w14:paraId="15594FF8" w14:textId="1114B8F1" w:rsidR="00827959" w:rsidRPr="00827959" w:rsidRDefault="00827959"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D44273">
        <w:rPr>
          <w:rFonts w:ascii="Times New Roman" w:eastAsia="Times New Roman" w:hAnsi="Times New Roman" w:cs="Times New Roman"/>
          <w:color w:val="FF0000"/>
          <w:sz w:val="28"/>
          <w:szCs w:val="28"/>
          <w:lang w:val="uk-UA" w:eastAsia="uk-UA"/>
        </w:rPr>
        <w:t xml:space="preserve">У разі неможливості отримання актуальної фінансової звітності суб’єкта господарювання значення параметра </w:t>
      </w:r>
      <w:r w:rsidRPr="001A4135">
        <w:rPr>
          <w:rFonts w:ascii="Times New Roman" w:eastAsia="Times New Roman" w:hAnsi="Times New Roman" w:cs="Times New Roman"/>
          <w:color w:val="FF0000"/>
          <w:sz w:val="28"/>
          <w:szCs w:val="28"/>
          <w:lang w:eastAsia="uk-UA"/>
        </w:rPr>
        <w:t>K</w:t>
      </w:r>
      <w:r w:rsidRPr="00D44273">
        <w:rPr>
          <w:rFonts w:ascii="Times New Roman" w:eastAsia="Times New Roman" w:hAnsi="Times New Roman" w:cs="Times New Roman"/>
          <w:color w:val="FF0000"/>
          <w:sz w:val="28"/>
          <w:szCs w:val="28"/>
          <w:lang w:val="uk-UA" w:eastAsia="uk-UA"/>
        </w:rPr>
        <w:t>140 визначається на підставі останньої наявної фінансової звітності</w:t>
      </w:r>
      <w:r>
        <w:rPr>
          <w:rFonts w:ascii="Times New Roman" w:eastAsia="Times New Roman" w:hAnsi="Times New Roman" w:cs="Times New Roman"/>
          <w:color w:val="FF0000"/>
          <w:sz w:val="28"/>
          <w:szCs w:val="28"/>
          <w:lang w:val="uk-UA" w:eastAsia="uk-UA"/>
        </w:rPr>
        <w:t>.</w:t>
      </w:r>
    </w:p>
    <w:p w14:paraId="50258FAD" w14:textId="60A2EFBC" w:rsidR="00D44273" w:rsidRDefault="00827959" w:rsidP="00C4420E">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827959">
        <w:rPr>
          <w:rFonts w:ascii="Times New Roman" w:eastAsia="Times New Roman" w:hAnsi="Times New Roman" w:cs="Times New Roman"/>
          <w:color w:val="FF0000"/>
          <w:sz w:val="28"/>
          <w:szCs w:val="28"/>
          <w:lang w:val="uk-UA" w:eastAsia="uk-UA"/>
        </w:rPr>
        <w:t xml:space="preserve">б) значення параметра </w:t>
      </w:r>
      <w:r>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val="uk-UA" w:eastAsia="uk-UA"/>
        </w:rPr>
        <w:t xml:space="preserve">140=9 зазначається для фізичних осіб, банків, бюджетних установ, </w:t>
      </w:r>
      <w:r w:rsidR="001244BC">
        <w:rPr>
          <w:rFonts w:ascii="Times New Roman" w:eastAsia="Times New Roman" w:hAnsi="Times New Roman" w:cs="Times New Roman"/>
          <w:color w:val="FF0000"/>
          <w:sz w:val="28"/>
          <w:szCs w:val="28"/>
          <w:lang w:val="uk-UA" w:eastAsia="uk-UA"/>
        </w:rPr>
        <w:t xml:space="preserve">громадських організацій, </w:t>
      </w:r>
      <w:r w:rsidRPr="00827959">
        <w:rPr>
          <w:rFonts w:ascii="Times New Roman" w:eastAsia="Times New Roman" w:hAnsi="Times New Roman" w:cs="Times New Roman"/>
          <w:color w:val="FF0000"/>
          <w:sz w:val="28"/>
          <w:szCs w:val="28"/>
          <w:lang w:val="uk-UA" w:eastAsia="uk-UA"/>
        </w:rPr>
        <w:t>нерезидентів та у разі</w:t>
      </w:r>
      <w:r w:rsidRPr="00827959">
        <w:rPr>
          <w:color w:val="FF0000"/>
          <w:lang w:val="uk-UA"/>
        </w:rPr>
        <w:t xml:space="preserve"> </w:t>
      </w:r>
      <w:r w:rsidRPr="00827959">
        <w:rPr>
          <w:rFonts w:ascii="Times New Roman" w:eastAsia="Times New Roman" w:hAnsi="Times New Roman" w:cs="Times New Roman"/>
          <w:color w:val="FF0000"/>
          <w:sz w:val="28"/>
          <w:szCs w:val="28"/>
          <w:lang w:val="uk-UA" w:eastAsia="uk-UA"/>
        </w:rPr>
        <w:t>неможливості отримання банком необхідної інформації для визначення розміру суб’єкта господарювання.</w:t>
      </w:r>
    </w:p>
    <w:p w14:paraId="68406F06" w14:textId="77777777" w:rsidR="00ED7A9C" w:rsidRPr="00ED7A9C" w:rsidRDefault="00ED7A9C" w:rsidP="00ED7A9C">
      <w:pPr>
        <w:spacing w:after="0" w:line="240" w:lineRule="auto"/>
        <w:ind w:firstLine="738"/>
        <w:jc w:val="both"/>
        <w:rPr>
          <w:rFonts w:ascii="Times New Roman" w:hAnsi="Times New Roman" w:cs="Times New Roman"/>
          <w:color w:val="FF0000"/>
          <w:sz w:val="28"/>
          <w:szCs w:val="28"/>
        </w:rPr>
      </w:pPr>
      <w:r w:rsidRPr="00ED7A9C">
        <w:rPr>
          <w:rFonts w:ascii="Times New Roman" w:hAnsi="Times New Roman" w:cs="Times New Roman"/>
          <w:color w:val="FF0000"/>
          <w:sz w:val="28"/>
          <w:szCs w:val="28"/>
        </w:rPr>
        <w:t xml:space="preserve">5.10. Параметр S183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(Тп1-Тв, де Тп1 – нова </w:t>
      </w:r>
      <w:r w:rsidRPr="00ED7A9C">
        <w:rPr>
          <w:rFonts w:ascii="Times New Roman" w:hAnsi="Times New Roman" w:cs="Times New Roman"/>
          <w:color w:val="FF0000"/>
          <w:sz w:val="28"/>
          <w:szCs w:val="28"/>
        </w:rPr>
        <w:lastRenderedPageBreak/>
        <w:t xml:space="preserve">дата погашення, Тв – дата виникнення), при цьому дата виникнення існуючого фінансового інструменту залишається без змін. </w:t>
      </w:r>
    </w:p>
    <w:p w14:paraId="0AF03138" w14:textId="77777777" w:rsidR="00ED7A9C" w:rsidRPr="00ED7A9C" w:rsidRDefault="00ED7A9C" w:rsidP="00ED7A9C">
      <w:pPr>
        <w:spacing w:after="0" w:line="240" w:lineRule="auto"/>
        <w:ind w:firstLine="738"/>
        <w:jc w:val="both"/>
        <w:rPr>
          <w:rFonts w:ascii="Times New Roman" w:hAnsi="Times New Roman" w:cs="Times New Roman"/>
          <w:color w:val="FF0000"/>
          <w:sz w:val="28"/>
          <w:szCs w:val="28"/>
        </w:rPr>
      </w:pPr>
      <w:r w:rsidRPr="00ED7A9C">
        <w:rPr>
          <w:rFonts w:ascii="Times New Roman" w:hAnsi="Times New Roman" w:cs="Times New Roman"/>
          <w:color w:val="FF0000"/>
          <w:sz w:val="28"/>
          <w:szCs w:val="28"/>
        </w:rPr>
        <w:t>За операціями з цінними паперами початковий строк погашення фінансового інструменту визначається згідно з умовами випуску таких цінних паперів.</w:t>
      </w:r>
    </w:p>
    <w:p w14:paraId="65D3E434" w14:textId="3B9CE45F" w:rsidR="00ED7A9C" w:rsidRPr="00C4420E" w:rsidRDefault="00ED7A9C" w:rsidP="00ED7A9C">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ED7A9C">
        <w:rPr>
          <w:rFonts w:ascii="Times New Roman" w:hAnsi="Times New Roman" w:cs="Times New Roman"/>
          <w:color w:val="FF0000"/>
          <w:sz w:val="28"/>
          <w:szCs w:val="28"/>
        </w:rPr>
        <w:t xml:space="preserve"> Початковий строк погашення фінансового інструменту без встановленої дати погашення визначається “на вимогу”.</w:t>
      </w:r>
    </w:p>
    <w:p w14:paraId="7362576C" w14:textId="77777777" w:rsidR="00566218" w:rsidRPr="00827959" w:rsidRDefault="00566218" w:rsidP="00566218">
      <w:pPr>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42020C8" w14:textId="77777777" w:rsidR="00A02E60" w:rsidRPr="00941139"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Правила формування окремих показників</w:t>
      </w:r>
      <w:r w:rsidR="006D68EC" w:rsidRPr="00941139">
        <w:rPr>
          <w:rFonts w:ascii="Times New Roman" w:hAnsi="Times New Roman" w:cs="Times New Roman"/>
          <w:sz w:val="28"/>
          <w:szCs w:val="28"/>
          <w:lang w:val="uk-UA"/>
        </w:rPr>
        <w:t xml:space="preserve"> </w:t>
      </w:r>
      <w:r w:rsidR="004012C1" w:rsidRPr="00941139">
        <w:rPr>
          <w:rFonts w:ascii="Times New Roman" w:hAnsi="Times New Roman" w:cs="Times New Roman"/>
          <w:sz w:val="28"/>
          <w:szCs w:val="28"/>
          <w:lang w:val="uk-UA"/>
        </w:rPr>
        <w:t>файла 07X.</w:t>
      </w:r>
    </w:p>
    <w:p w14:paraId="3F967771" w14:textId="77777777" w:rsidR="00A02E60" w:rsidRPr="00941139"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Показник A07F32</w:t>
      </w:r>
      <w:r w:rsidR="0006089D" w:rsidRPr="00941139">
        <w:rPr>
          <w:rFonts w:ascii="Times New Roman" w:hAnsi="Times New Roman" w:cs="Times New Roman"/>
          <w:sz w:val="28"/>
          <w:szCs w:val="28"/>
          <w:lang w:val="uk-UA"/>
        </w:rPr>
        <w:t xml:space="preserve"> «Сума залишків за борговими цінними паперами»</w:t>
      </w:r>
      <w:r w:rsidRPr="00941139">
        <w:rPr>
          <w:rFonts w:ascii="Times New Roman" w:hAnsi="Times New Roman" w:cs="Times New Roman"/>
          <w:sz w:val="28"/>
          <w:szCs w:val="28"/>
          <w:lang w:val="uk-UA"/>
        </w:rPr>
        <w:t xml:space="preserve">: </w:t>
      </w:r>
    </w:p>
    <w:p w14:paraId="0A70FB47" w14:textId="748608E6" w:rsidR="00547032" w:rsidRPr="00941139"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 xml:space="preserve">наченням параметра F083=11 зазначається </w:t>
      </w:r>
      <w:r w:rsidR="000A46C9" w:rsidRPr="00941139">
        <w:rPr>
          <w:rFonts w:ascii="Times New Roman" w:eastAsia="Times New Roman" w:hAnsi="Times New Roman" w:cs="Times New Roman"/>
          <w:sz w:val="28"/>
          <w:szCs w:val="28"/>
          <w:lang w:eastAsia="uk-UA"/>
        </w:rPr>
        <w:t xml:space="preserve">основна </w:t>
      </w:r>
      <w:r w:rsidR="000A46C9" w:rsidRPr="00941139">
        <w:rPr>
          <w:rFonts w:ascii="Times New Roman" w:eastAsia="Calibri" w:hAnsi="Times New Roman" w:cs="Times New Roman"/>
          <w:sz w:val="28"/>
          <w:szCs w:val="28"/>
        </w:rPr>
        <w:t>сума боргу за активом</w:t>
      </w:r>
      <w:r w:rsidR="00951810" w:rsidRPr="00941139">
        <w:rPr>
          <w:rFonts w:ascii="Times New Roman" w:hAnsi="Times New Roman" w:cs="Times New Roman"/>
          <w:sz w:val="28"/>
          <w:szCs w:val="28"/>
          <w:lang w:val="uk-UA"/>
        </w:rPr>
        <w:t xml:space="preserve">, </w:t>
      </w:r>
      <w:r w:rsidR="00AD3FDB"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941139">
        <w:rPr>
          <w:rFonts w:ascii="Times New Roman" w:hAnsi="Times New Roman" w:cs="Times New Roman"/>
          <w:sz w:val="28"/>
          <w:szCs w:val="28"/>
          <w:lang w:val="uk-UA"/>
        </w:rPr>
        <w:t xml:space="preserve"> 1404А,</w:t>
      </w:r>
      <w:r w:rsidR="00951810" w:rsidRPr="00941139">
        <w:rPr>
          <w:rFonts w:ascii="Times New Roman" w:hAnsi="Times New Roman" w:cs="Times New Roman"/>
          <w:sz w:val="28"/>
          <w:szCs w:val="28"/>
          <w:lang w:val="uk-UA"/>
        </w:rPr>
        <w:t xml:space="preserve"> 1410А, 1411А, 1412А, 1413А, </w:t>
      </w:r>
      <w:r w:rsidR="002F001F" w:rsidRPr="00941139">
        <w:rPr>
          <w:rFonts w:ascii="Times New Roman" w:hAnsi="Times New Roman" w:cs="Times New Roman"/>
          <w:sz w:val="28"/>
          <w:szCs w:val="28"/>
          <w:lang w:val="uk-UA"/>
        </w:rPr>
        <w:t xml:space="preserve">1414А, </w:t>
      </w:r>
      <w:r w:rsidR="00951810" w:rsidRPr="00941139">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941139">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наченням параметра F083=12</w:t>
      </w:r>
      <w:r w:rsidR="0066161F" w:rsidRPr="00941139">
        <w:rPr>
          <w:rFonts w:ascii="Times New Roman" w:hAnsi="Times New Roman" w:cs="Times New Roman"/>
          <w:sz w:val="28"/>
          <w:szCs w:val="28"/>
          <w:lang w:val="uk-UA"/>
        </w:rPr>
        <w:t xml:space="preserve"> </w:t>
      </w:r>
      <w:r w:rsidR="00951810" w:rsidRPr="00941139">
        <w:rPr>
          <w:rFonts w:ascii="Times New Roman" w:hAnsi="Times New Roman" w:cs="Times New Roman"/>
          <w:sz w:val="28"/>
          <w:szCs w:val="28"/>
          <w:lang w:val="uk-UA"/>
        </w:rPr>
        <w:t>зазначається сума нарахованих доходів</w:t>
      </w:r>
      <w:r w:rsidR="00056F7F" w:rsidRPr="00941139">
        <w:rPr>
          <w:rFonts w:ascii="Times New Roman" w:hAnsi="Times New Roman" w:cs="Times New Roman"/>
          <w:sz w:val="28"/>
          <w:szCs w:val="28"/>
          <w:lang w:val="uk-UA"/>
        </w:rPr>
        <w:t xml:space="preserve"> </w:t>
      </w:r>
      <w:r w:rsidR="00056F7F" w:rsidRPr="00941139">
        <w:rPr>
          <w:rFonts w:ascii="Times New Roman" w:eastAsia="Calibri" w:hAnsi="Times New Roman" w:cs="Times New Roman"/>
          <w:sz w:val="28"/>
          <w:szCs w:val="28"/>
        </w:rPr>
        <w:t>за основною сумою боргу за активом</w:t>
      </w:r>
      <w:r w:rsidR="00951810" w:rsidRPr="00941139">
        <w:rPr>
          <w:rFonts w:ascii="Times New Roman" w:hAnsi="Times New Roman" w:cs="Times New Roman"/>
          <w:sz w:val="28"/>
          <w:szCs w:val="28"/>
          <w:lang w:val="uk-UA"/>
        </w:rPr>
        <w:t xml:space="preserve">, </w:t>
      </w:r>
      <w:r w:rsidR="00593EAA"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w:t>
      </w:r>
      <w:r w:rsidR="00951810" w:rsidRPr="00D5542F">
        <w:rPr>
          <w:rFonts w:ascii="Times New Roman" w:hAnsi="Times New Roman" w:cs="Times New Roman"/>
          <w:sz w:val="28"/>
          <w:szCs w:val="28"/>
          <w:lang w:val="uk-UA"/>
        </w:rPr>
        <w:t>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w:t>
      </w:r>
      <w:r w:rsidR="008A41C8" w:rsidRPr="00D5542F">
        <w:rPr>
          <w:rFonts w:ascii="Times New Roman" w:hAnsi="Times New Roman" w:cs="Times New Roman"/>
          <w:sz w:val="28"/>
          <w:szCs w:val="28"/>
          <w:lang w:val="uk-UA"/>
        </w:rPr>
        <w:lastRenderedPageBreak/>
        <w:t>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w:t>
      </w:r>
      <w:r w:rsidRPr="00D5542F">
        <w:rPr>
          <w:rFonts w:ascii="Times New Roman" w:hAnsi="Times New Roman" w:cs="Times New Roman"/>
          <w:sz w:val="28"/>
          <w:szCs w:val="28"/>
          <w:lang w:val="uk-UA"/>
        </w:rPr>
        <w:lastRenderedPageBreak/>
        <w:t xml:space="preserve">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50A8743D" w:rsidR="009A146A" w:rsidRPr="00D5542F" w:rsidRDefault="004E266D"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4E266D">
        <w:rPr>
          <w:rFonts w:ascii="Times New Roman" w:hAnsi="Times New Roman" w:cs="Times New Roman"/>
          <w:sz w:val="28"/>
          <w:szCs w:val="28"/>
          <w:lang w:val="uk-UA"/>
        </w:rPr>
        <w:t>зі значенням</w:t>
      </w:r>
      <w:r w:rsidRPr="004E266D">
        <w:rPr>
          <w:rFonts w:ascii="Times New Roman" w:hAnsi="Times New Roman" w:cs="Times New Roman"/>
          <w:color w:val="FF0000"/>
          <w:sz w:val="28"/>
          <w:szCs w:val="28"/>
          <w:lang w:val="uk-UA"/>
        </w:rPr>
        <w:t>и</w:t>
      </w:r>
      <w:r w:rsidRPr="004E266D">
        <w:rPr>
          <w:rFonts w:ascii="Times New Roman" w:hAnsi="Times New Roman" w:cs="Times New Roman"/>
          <w:sz w:val="28"/>
          <w:szCs w:val="28"/>
          <w:lang w:val="uk-UA"/>
        </w:rPr>
        <w:t xml:space="preserve"> параметр</w:t>
      </w:r>
      <w:r w:rsidRPr="004E266D">
        <w:rPr>
          <w:rFonts w:ascii="Times New Roman" w:eastAsia="Times New Roman" w:hAnsi="Times New Roman" w:cs="Times New Roman"/>
          <w:color w:val="FF0000"/>
          <w:sz w:val="28"/>
          <w:szCs w:val="28"/>
          <w:lang w:val="uk-UA" w:eastAsia="uk-UA"/>
        </w:rPr>
        <w:t>ів</w:t>
      </w:r>
      <w:r w:rsidRPr="004E266D">
        <w:rPr>
          <w:rFonts w:ascii="Times New Roman" w:hAnsi="Times New Roman" w:cs="Times New Roman"/>
          <w:sz w:val="28"/>
          <w:szCs w:val="28"/>
          <w:lang w:val="uk-UA"/>
        </w:rPr>
        <w:t xml:space="preserve"> </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083=20</w:t>
      </w:r>
      <w:r w:rsidRPr="004E266D">
        <w:rPr>
          <w:rFonts w:ascii="Times New Roman" w:eastAsia="Times New Roman" w:hAnsi="Times New Roman" w:cs="Times New Roman"/>
          <w:color w:val="FF0000"/>
          <w:sz w:val="28"/>
          <w:szCs w:val="28"/>
          <w:lang w:val="uk-UA" w:eastAsia="uk-UA"/>
        </w:rPr>
        <w:t xml:space="preserve">, </w:t>
      </w:r>
      <w:r w:rsidRPr="004E266D">
        <w:rPr>
          <w:rFonts w:ascii="Times New Roman" w:eastAsia="Times New Roman" w:hAnsi="Times New Roman" w:cs="Times New Roman"/>
          <w:color w:val="FF0000"/>
          <w:sz w:val="28"/>
          <w:szCs w:val="28"/>
          <w:lang w:eastAsia="uk-UA"/>
        </w:rPr>
        <w:t>S</w:t>
      </w:r>
      <w:r w:rsidRPr="004E266D">
        <w:rPr>
          <w:rFonts w:ascii="Times New Roman" w:eastAsia="Times New Roman" w:hAnsi="Times New Roman" w:cs="Times New Roman"/>
          <w:color w:val="FF0000"/>
          <w:sz w:val="28"/>
          <w:szCs w:val="28"/>
          <w:lang w:val="uk-UA" w:eastAsia="uk-UA"/>
        </w:rPr>
        <w:t>083=1</w:t>
      </w:r>
      <w:r w:rsidRPr="004E266D">
        <w:rPr>
          <w:rFonts w:ascii="Times New Roman" w:hAnsi="Times New Roman" w:cs="Times New Roman"/>
          <w:color w:val="FF0000"/>
          <w:sz w:val="28"/>
          <w:szCs w:val="28"/>
          <w:lang w:val="uk-UA"/>
        </w:rPr>
        <w:t xml:space="preserve"> </w:t>
      </w:r>
      <w:r w:rsidRPr="004E266D">
        <w:rPr>
          <w:rFonts w:ascii="Times New Roman" w:hAnsi="Times New Roman" w:cs="Times New Roman"/>
          <w:sz w:val="28"/>
          <w:szCs w:val="28"/>
          <w:lang w:val="uk-UA"/>
        </w:rPr>
        <w:t xml:space="preserve">зазначається розмір повернення боргу за рахунок реалізації забезпечення  </w:t>
      </w:r>
      <w:r w:rsidRPr="004E266D">
        <w:rPr>
          <w:rFonts w:ascii="Times New Roman" w:eastAsia="Times New Roman" w:hAnsi="Times New Roman" w:cs="Times New Roman"/>
          <w:sz w:val="28"/>
          <w:szCs w:val="28"/>
          <w:lang w:val="uk-UA" w:eastAsia="uk-UA"/>
        </w:rPr>
        <w:t>(</w:t>
      </w:r>
      <w:r w:rsidRPr="00D5542F">
        <w:rPr>
          <w:rFonts w:ascii="Times New Roman" w:eastAsia="Times New Roman" w:hAnsi="Times New Roman" w:cs="Times New Roman"/>
          <w:sz w:val="28"/>
          <w:szCs w:val="28"/>
          <w:lang w:eastAsia="uk-UA"/>
        </w:rPr>
        <w:t>CV·k</w:t>
      </w:r>
      <w:r w:rsidRPr="004E266D">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Pr="004E266D">
        <w:rPr>
          <w:rFonts w:ascii="Times New Roman" w:hAnsi="Times New Roman" w:cs="Times New Roman"/>
          <w:sz w:val="28"/>
          <w:szCs w:val="28"/>
          <w:lang w:val="uk-UA"/>
        </w:rPr>
        <w:t xml:space="preserve">, які надані за показниками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32,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52,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82,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71,</w:t>
      </w:r>
      <w:r w:rsidRPr="004E266D">
        <w:rPr>
          <w:rFonts w:ascii="Calibri" w:hAnsi="Calibri"/>
          <w:lang w:val="uk-UA"/>
        </w:rPr>
        <w:t xml:space="preserve">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00D45430">
        <w:rPr>
          <w:rFonts w:ascii="Times New Roman" w:hAnsi="Times New Roman" w:cs="Times New Roman"/>
          <w:sz w:val="28"/>
          <w:szCs w:val="28"/>
          <w:lang w:val="uk-UA"/>
        </w:rPr>
        <w:t>84;</w:t>
      </w:r>
    </w:p>
    <w:p w14:paraId="575C2634" w14:textId="5F85A7A0" w:rsidR="004B6B0D" w:rsidRDefault="004E266D" w:rsidP="004E266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4E266D">
        <w:rPr>
          <w:rFonts w:ascii="Times New Roman" w:hAnsi="Times New Roman" w:cs="Times New Roman"/>
          <w:sz w:val="28"/>
          <w:szCs w:val="28"/>
          <w:lang w:val="uk-UA"/>
        </w:rPr>
        <w:t>зі значенням</w:t>
      </w:r>
      <w:r w:rsidRPr="004E266D">
        <w:rPr>
          <w:rFonts w:ascii="Times New Roman" w:hAnsi="Times New Roman" w:cs="Times New Roman"/>
          <w:color w:val="FF0000"/>
          <w:sz w:val="28"/>
          <w:szCs w:val="28"/>
          <w:lang w:val="uk-UA"/>
        </w:rPr>
        <w:t>и</w:t>
      </w:r>
      <w:r w:rsidRPr="004E266D">
        <w:rPr>
          <w:rFonts w:ascii="Times New Roman" w:hAnsi="Times New Roman" w:cs="Times New Roman"/>
          <w:sz w:val="28"/>
          <w:szCs w:val="28"/>
          <w:lang w:val="uk-UA"/>
        </w:rPr>
        <w:t xml:space="preserve"> параметр</w:t>
      </w:r>
      <w:r w:rsidRPr="004E266D">
        <w:rPr>
          <w:rFonts w:ascii="Times New Roman" w:eastAsia="Times New Roman" w:hAnsi="Times New Roman" w:cs="Times New Roman"/>
          <w:color w:val="FF0000"/>
          <w:sz w:val="28"/>
          <w:szCs w:val="28"/>
          <w:lang w:val="uk-UA" w:eastAsia="uk-UA"/>
        </w:rPr>
        <w:t>ів</w:t>
      </w:r>
      <w:r w:rsidRPr="004E266D">
        <w:rPr>
          <w:rFonts w:ascii="Times New Roman" w:hAnsi="Times New Roman" w:cs="Times New Roman"/>
          <w:sz w:val="28"/>
          <w:szCs w:val="28"/>
          <w:lang w:val="uk-UA"/>
        </w:rPr>
        <w:t xml:space="preserve"> </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083=21</w:t>
      </w:r>
      <w:r w:rsidRPr="004E266D">
        <w:rPr>
          <w:rFonts w:ascii="Times New Roman" w:eastAsia="Times New Roman" w:hAnsi="Times New Roman" w:cs="Times New Roman"/>
          <w:color w:val="FF0000"/>
          <w:sz w:val="28"/>
          <w:szCs w:val="28"/>
          <w:lang w:val="uk-UA" w:eastAsia="uk-UA"/>
        </w:rPr>
        <w:t xml:space="preserve">, </w:t>
      </w:r>
      <w:r w:rsidRPr="004E266D">
        <w:rPr>
          <w:rFonts w:ascii="Times New Roman" w:eastAsia="Times New Roman" w:hAnsi="Times New Roman" w:cs="Times New Roman"/>
          <w:color w:val="FF0000"/>
          <w:sz w:val="28"/>
          <w:szCs w:val="28"/>
          <w:lang w:eastAsia="uk-UA"/>
        </w:rPr>
        <w:t>S</w:t>
      </w:r>
      <w:r w:rsidRPr="004E266D">
        <w:rPr>
          <w:rFonts w:ascii="Times New Roman" w:eastAsia="Times New Roman" w:hAnsi="Times New Roman" w:cs="Times New Roman"/>
          <w:color w:val="FF0000"/>
          <w:sz w:val="28"/>
          <w:szCs w:val="28"/>
          <w:lang w:val="uk-UA" w:eastAsia="uk-UA"/>
        </w:rPr>
        <w:t>083=1</w:t>
      </w:r>
      <w:r w:rsidRPr="004E266D">
        <w:rPr>
          <w:rFonts w:ascii="Times New Roman" w:hAnsi="Times New Roman" w:cs="Times New Roman"/>
          <w:color w:val="FF0000"/>
          <w:sz w:val="28"/>
          <w:szCs w:val="28"/>
          <w:lang w:val="uk-UA"/>
        </w:rPr>
        <w:t xml:space="preserve"> </w:t>
      </w:r>
      <w:r w:rsidRPr="004E266D">
        <w:rPr>
          <w:rFonts w:ascii="Times New Roman" w:hAnsi="Times New Roman" w:cs="Times New Roman"/>
          <w:sz w:val="28"/>
          <w:szCs w:val="28"/>
          <w:lang w:val="uk-UA"/>
        </w:rPr>
        <w:t>зазначається розмір повернення боргу за рахунок інших надходжень (</w:t>
      </w:r>
      <w:r w:rsidRPr="00D5542F">
        <w:rPr>
          <w:rFonts w:ascii="Times New Roman" w:hAnsi="Times New Roman" w:cs="Times New Roman"/>
          <w:sz w:val="28"/>
          <w:szCs w:val="28"/>
        </w:rPr>
        <w:t>RC</w:t>
      </w:r>
      <w:r w:rsidRPr="004E266D">
        <w:rPr>
          <w:rFonts w:ascii="Times New Roman" w:hAnsi="Times New Roman" w:cs="Times New Roman"/>
          <w:sz w:val="28"/>
          <w:szCs w:val="28"/>
          <w:lang w:val="uk-UA"/>
        </w:rPr>
        <w:t>),</w:t>
      </w:r>
      <w:r w:rsidRPr="004E266D">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Pr="004E266D">
        <w:rPr>
          <w:rFonts w:ascii="Times New Roman" w:hAnsi="Times New Roman" w:cs="Times New Roman"/>
          <w:sz w:val="28"/>
          <w:szCs w:val="28"/>
          <w:lang w:val="uk-UA"/>
        </w:rPr>
        <w:t xml:space="preserve">, які надані за показниками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32,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52,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82,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71,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00D45430">
        <w:rPr>
          <w:rFonts w:ascii="Times New Roman" w:hAnsi="Times New Roman" w:cs="Times New Roman"/>
          <w:sz w:val="28"/>
          <w:szCs w:val="28"/>
          <w:lang w:val="uk-UA"/>
        </w:rPr>
        <w:t>84;</w:t>
      </w:r>
    </w:p>
    <w:p w14:paraId="6C0ECA72" w14:textId="768DC8F3" w:rsidR="004E266D" w:rsidRPr="004E266D" w:rsidRDefault="002E17F5" w:rsidP="004E266D">
      <w:pPr>
        <w:pStyle w:val="a4"/>
        <w:numPr>
          <w:ilvl w:val="0"/>
          <w:numId w:val="9"/>
        </w:numPr>
        <w:tabs>
          <w:tab w:val="left" w:pos="851"/>
        </w:tabs>
        <w:spacing w:after="0" w:line="240" w:lineRule="auto"/>
        <w:ind w:left="0" w:firstLine="567"/>
        <w:jc w:val="both"/>
        <w:rPr>
          <w:rFonts w:ascii="Times New Roman" w:hAnsi="Times New Roman" w:cs="Times New Roman"/>
          <w:color w:val="FF0000"/>
          <w:sz w:val="28"/>
          <w:szCs w:val="28"/>
          <w:lang w:val="uk-UA"/>
        </w:rPr>
      </w:pPr>
      <w:r>
        <w:rPr>
          <w:rFonts w:ascii="Times New Roman" w:eastAsia="Times New Roman" w:hAnsi="Times New Roman" w:cs="Times New Roman"/>
          <w:color w:val="FF0000"/>
          <w:sz w:val="28"/>
          <w:szCs w:val="28"/>
          <w:lang w:eastAsia="uk-UA"/>
        </w:rPr>
        <w:t>дані за показником A07FN2</w:t>
      </w:r>
      <w:r w:rsidR="004E266D" w:rsidRPr="004E266D">
        <w:rPr>
          <w:rFonts w:ascii="Times New Roman" w:eastAsia="Times New Roman" w:hAnsi="Times New Roman" w:cs="Times New Roman"/>
          <w:color w:val="FF0000"/>
          <w:sz w:val="28"/>
          <w:szCs w:val="28"/>
          <w:lang w:eastAsia="uk-UA"/>
        </w:rPr>
        <w:t xml:space="preserve"> зі значеннями параметра S083=0,9</w:t>
      </w:r>
      <w:r w:rsidR="004E266D" w:rsidRPr="004E266D">
        <w:rPr>
          <w:color w:val="FF0000"/>
        </w:rPr>
        <w:t xml:space="preserve"> </w:t>
      </w:r>
      <w:r w:rsidR="004E266D" w:rsidRPr="004E266D">
        <w:rPr>
          <w:rFonts w:ascii="Times New Roman" w:eastAsia="Times New Roman" w:hAnsi="Times New Roman" w:cs="Times New Roman"/>
          <w:color w:val="FF0000"/>
          <w:sz w:val="28"/>
          <w:szCs w:val="28"/>
          <w:lang w:eastAsia="uk-UA"/>
        </w:rPr>
        <w:t>у файлі не надаються.</w:t>
      </w:r>
    </w:p>
    <w:sectPr w:rsidR="004E266D" w:rsidRPr="004E266D"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6217" w14:textId="77777777" w:rsidR="00F46839" w:rsidRDefault="00F46839" w:rsidP="007B3828">
      <w:pPr>
        <w:spacing w:after="0" w:line="240" w:lineRule="auto"/>
      </w:pPr>
      <w:r>
        <w:separator/>
      </w:r>
    </w:p>
  </w:endnote>
  <w:endnote w:type="continuationSeparator" w:id="0">
    <w:p w14:paraId="25340A62" w14:textId="77777777" w:rsidR="00F46839" w:rsidRDefault="00F46839"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2573ED" w:rsidRPr="00DB01A4" w:rsidRDefault="002573ED">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6EC19" w14:textId="77777777" w:rsidR="00F46839" w:rsidRDefault="00F46839" w:rsidP="007B3828">
      <w:pPr>
        <w:spacing w:after="0" w:line="240" w:lineRule="auto"/>
      </w:pPr>
      <w:r>
        <w:separator/>
      </w:r>
    </w:p>
  </w:footnote>
  <w:footnote w:type="continuationSeparator" w:id="0">
    <w:p w14:paraId="180687C9" w14:textId="77777777" w:rsidR="00F46839" w:rsidRDefault="00F46839" w:rsidP="007B3828">
      <w:pPr>
        <w:spacing w:after="0" w:line="240" w:lineRule="auto"/>
      </w:pPr>
      <w:r>
        <w:continuationSeparator/>
      </w:r>
    </w:p>
  </w:footnote>
  <w:footnote w:id="1">
    <w:p w14:paraId="5FFA6161" w14:textId="418D8511" w:rsidR="002573ED" w:rsidRPr="003353ED" w:rsidRDefault="002573ED" w:rsidP="00664DE9">
      <w:pPr>
        <w:pStyle w:val="af"/>
        <w:jc w:val="both"/>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2">
    <w:p w14:paraId="1236E280" w14:textId="4F1F8E44" w:rsidR="002573ED" w:rsidRPr="003353ED" w:rsidRDefault="002573ED" w:rsidP="00664DE9">
      <w:pPr>
        <w:pStyle w:val="af"/>
        <w:jc w:val="both"/>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3">
    <w:p w14:paraId="763BBB7D" w14:textId="47AED511" w:rsidR="002573ED" w:rsidRPr="001C7016" w:rsidRDefault="002573ED" w:rsidP="00664DE9">
      <w:pPr>
        <w:pStyle w:val="af"/>
        <w:jc w:val="both"/>
        <w:rPr>
          <w:lang w:val="uk-UA"/>
        </w:rPr>
      </w:pPr>
      <w:r>
        <w:rPr>
          <w:rStyle w:val="af1"/>
        </w:rPr>
        <w:footnoteRef/>
      </w:r>
      <w:r w:rsidRPr="001C7016">
        <w:rPr>
          <w:lang w:val="uk-UA"/>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1C7016">
        <w:rPr>
          <w:rFonts w:ascii="Times New Roman" w:hAnsi="Times New Roman" w:cs="Times New Roman"/>
          <w:sz w:val="18"/>
          <w:szCs w:val="18"/>
          <w:lang w:val="uk-UA"/>
        </w:rPr>
        <w:t>8</w:t>
      </w:r>
      <w:r w:rsidRPr="00705233">
        <w:rPr>
          <w:rFonts w:ascii="Times New Roman" w:hAnsi="Times New Roman" w:cs="Times New Roman"/>
          <w:sz w:val="18"/>
          <w:szCs w:val="18"/>
          <w:lang w:val="uk-UA"/>
        </w:rPr>
        <w:t xml:space="preserve">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Положення №351</w:t>
      </w:r>
      <w:r w:rsidRPr="001C7016">
        <w:rPr>
          <w:rFonts w:ascii="Times New Roman" w:hAnsi="Times New Roman" w:cs="Times New Roman"/>
          <w:sz w:val="18"/>
          <w:szCs w:val="18"/>
          <w:lang w:val="uk-UA"/>
        </w:rPr>
        <w:t>.</w:t>
      </w:r>
    </w:p>
  </w:footnote>
  <w:footnote w:id="4">
    <w:p w14:paraId="57EABF73" w14:textId="62A8D330" w:rsidR="002573ED" w:rsidRPr="00581E50" w:rsidRDefault="002573ED" w:rsidP="00664DE9">
      <w:pPr>
        <w:pStyle w:val="af"/>
        <w:jc w:val="both"/>
      </w:pPr>
      <w:r>
        <w:rPr>
          <w:rStyle w:val="af1"/>
        </w:rPr>
        <w:footnoteRef/>
      </w:r>
      <w:r>
        <w:t xml:space="preserve"> </w:t>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BA313A">
        <w:rPr>
          <w:rFonts w:ascii="Times New Roman" w:hAnsi="Times New Roman" w:cs="Times New Roman"/>
          <w:sz w:val="18"/>
          <w:szCs w:val="18"/>
        </w:rPr>
        <w:t>8</w:t>
      </w:r>
      <w:r w:rsidRPr="00705233">
        <w:rPr>
          <w:rFonts w:ascii="Times New Roman" w:hAnsi="Times New Roman" w:cs="Times New Roman"/>
          <w:sz w:val="18"/>
          <w:szCs w:val="18"/>
          <w:lang w:val="uk-UA"/>
        </w:rPr>
        <w:t>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5">
    <w:p w14:paraId="6BFFEFBF" w14:textId="6C5678E0" w:rsidR="002573ED" w:rsidRPr="003353ED" w:rsidRDefault="002573ED" w:rsidP="00664DE9">
      <w:pPr>
        <w:pStyle w:val="af"/>
        <w:jc w:val="both"/>
        <w:rPr>
          <w:rFonts w:ascii="Times New Roman" w:hAnsi="Times New Roman" w:cs="Times New Roman"/>
          <w:sz w:val="18"/>
          <w:szCs w:val="18"/>
          <w:lang w:val="uk-UA"/>
        </w:rPr>
      </w:pPr>
      <w:r w:rsidRPr="00A5233E">
        <w:rPr>
          <w:rStyle w:val="af1"/>
          <w:rFonts w:ascii="Times New Roman" w:hAnsi="Times New Roman" w:cs="Times New Roman"/>
          <w:sz w:val="18"/>
          <w:szCs w:val="18"/>
        </w:rPr>
        <w:t>5</w:t>
      </w:r>
      <w:r w:rsidRPr="003353ED">
        <w:rPr>
          <w:rFonts w:ascii="Times New Roman" w:hAnsi="Times New Roman" w:cs="Times New Roman"/>
          <w:sz w:val="18"/>
          <w:szCs w:val="18"/>
          <w:lang w:val="uk-UA"/>
        </w:rPr>
        <w:t xml:space="preserve"> Для показника A07F52, крім рахунків 3412, 3413, 3415, 3418, 3422, 3423, 3425, 3428, 4102, 4103, 4105, 4108, 4202, 4203, 4205, 4208 та</w:t>
      </w:r>
      <w:r>
        <w:rPr>
          <w:rFonts w:ascii="Times New Roman" w:hAnsi="Times New Roman" w:cs="Times New Roman"/>
          <w:sz w:val="18"/>
          <w:szCs w:val="18"/>
          <w:lang w:val="uk-UA"/>
        </w:rPr>
        <w:t xml:space="preserve"> крім</w:t>
      </w:r>
      <w:r w:rsidRPr="003353ED">
        <w:rPr>
          <w:rFonts w:ascii="Times New Roman" w:hAnsi="Times New Roman" w:cs="Times New Roman"/>
          <w:sz w:val="18"/>
          <w:szCs w:val="18"/>
          <w:lang w:val="uk-UA"/>
        </w:rPr>
        <w:t xml:space="preserve"> цінних паперів</w:t>
      </w:r>
      <w:r w:rsidRPr="00A5233E">
        <w:rPr>
          <w:rFonts w:ascii="Times New Roman" w:hAnsi="Times New Roman" w:cs="Times New Roman"/>
          <w:sz w:val="18"/>
          <w:szCs w:val="18"/>
        </w:rPr>
        <w:t>.</w:t>
      </w:r>
      <w:r w:rsidRPr="00286A33">
        <w:rPr>
          <w:rFonts w:ascii="Times New Roman" w:hAnsi="Times New Roman" w:cs="Times New Roman"/>
          <w:sz w:val="18"/>
          <w:szCs w:val="18"/>
          <w:lang w:val="uk-UA"/>
        </w:rPr>
        <w:t xml:space="preserve"> </w:t>
      </w:r>
      <w:r w:rsidRPr="003353ED">
        <w:rPr>
          <w:rFonts w:ascii="Times New Roman" w:hAnsi="Times New Roman" w:cs="Times New Roman"/>
          <w:sz w:val="18"/>
          <w:szCs w:val="18"/>
          <w:lang w:val="uk-UA"/>
        </w:rPr>
        <w:t xml:space="preserve">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6">
    <w:p w14:paraId="549D67F3" w14:textId="4B8CC65F" w:rsidR="002573ED" w:rsidRPr="003353ED" w:rsidRDefault="002573ED" w:rsidP="00664DE9">
      <w:pPr>
        <w:pStyle w:val="af"/>
        <w:jc w:val="both"/>
        <w:rPr>
          <w:rFonts w:ascii="Times New Roman" w:hAnsi="Times New Roman" w:cs="Times New Roman"/>
          <w:sz w:val="18"/>
          <w:szCs w:val="18"/>
          <w:lang w:val="uk-UA"/>
        </w:rPr>
      </w:pPr>
      <w:r w:rsidRPr="00A5233E">
        <w:rPr>
          <w:rStyle w:val="af1"/>
          <w:rFonts w:ascii="Times New Roman" w:hAnsi="Times New Roman" w:cs="Times New Roman"/>
          <w:sz w:val="18"/>
          <w:szCs w:val="18"/>
        </w:rPr>
        <w:t>6</w:t>
      </w:r>
      <w:r w:rsidRPr="003353ED">
        <w:rPr>
          <w:rFonts w:ascii="Times New Roman" w:hAnsi="Times New Roman" w:cs="Times New Roman"/>
          <w:sz w:val="18"/>
          <w:szCs w:val="18"/>
          <w:lang w:val="uk-UA"/>
        </w:rPr>
        <w:t>Для показника A07F52 за рахунками 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7">
    <w:p w14:paraId="20BE88F5" w14:textId="5C3DEE89" w:rsidR="002573ED" w:rsidRPr="00BE723F"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депозитних сертифікатів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8">
    <w:p w14:paraId="7FDA893F" w14:textId="71C15F17" w:rsidR="002573ED" w:rsidRPr="00BE723F"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депозитними сертифікатами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9">
    <w:p w14:paraId="4832E2F5" w14:textId="4CE002AE" w:rsidR="002573ED" w:rsidRPr="004B0415"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активів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10">
    <w:p w14:paraId="51ACA0A7" w14:textId="2F584BFA" w:rsidR="002573ED" w:rsidRPr="004B0415"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активами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p>
  </w:footnote>
  <w:footnote w:id="11">
    <w:p w14:paraId="5C21B9B4" w14:textId="362EAF96" w:rsidR="002573ED" w:rsidRPr="003353ED" w:rsidRDefault="002573ED" w:rsidP="00664DE9">
      <w:pPr>
        <w:pStyle w:val="af"/>
        <w:jc w:val="both"/>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1</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12">
    <w:p w14:paraId="711F82CD" w14:textId="5E0F3520" w:rsidR="002573ED" w:rsidRPr="00967246" w:rsidRDefault="002573ED" w:rsidP="00664DE9">
      <w:pPr>
        <w:pStyle w:val="af"/>
        <w:jc w:val="both"/>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2</w:t>
      </w:r>
      <w:r w:rsidRPr="003353ED">
        <w:rPr>
          <w:rStyle w:val="af1"/>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69711E1E" w:rsidR="002573ED" w:rsidRPr="003730E8" w:rsidRDefault="002573ED">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E51C61">
          <w:rPr>
            <w:rFonts w:ascii="Times New Roman" w:hAnsi="Times New Roman" w:cs="Times New Roman"/>
            <w:noProof/>
            <w:sz w:val="28"/>
            <w:szCs w:val="28"/>
          </w:rPr>
          <w:t>10</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2"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3" w15:restartNumberingAfterBreak="0">
    <w:nsid w:val="2CF977CD"/>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A4D0C5F"/>
    <w:multiLevelType w:val="hybridMultilevel"/>
    <w:tmpl w:val="935A62AA"/>
    <w:lvl w:ilvl="0" w:tplc="AF829638">
      <w:start w:val="1"/>
      <w:numFmt w:val="russianLower"/>
      <w:lvlText w:val="%1)"/>
      <w:lvlJc w:val="left"/>
      <w:pPr>
        <w:ind w:left="3621" w:hanging="360"/>
      </w:pPr>
      <w:rPr>
        <w:rFonts w:hint="default"/>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2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6"/>
  </w:num>
  <w:num w:numId="3">
    <w:abstractNumId w:val="27"/>
  </w:num>
  <w:num w:numId="4">
    <w:abstractNumId w:val="22"/>
  </w:num>
  <w:num w:numId="5">
    <w:abstractNumId w:val="19"/>
  </w:num>
  <w:num w:numId="6">
    <w:abstractNumId w:val="18"/>
  </w:num>
  <w:num w:numId="7">
    <w:abstractNumId w:val="7"/>
  </w:num>
  <w:num w:numId="8">
    <w:abstractNumId w:val="4"/>
  </w:num>
  <w:num w:numId="9">
    <w:abstractNumId w:val="23"/>
  </w:num>
  <w:num w:numId="10">
    <w:abstractNumId w:val="11"/>
  </w:num>
  <w:num w:numId="11">
    <w:abstractNumId w:val="5"/>
  </w:num>
  <w:num w:numId="12">
    <w:abstractNumId w:val="14"/>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8"/>
  </w:num>
  <w:num w:numId="17">
    <w:abstractNumId w:val="2"/>
  </w:num>
  <w:num w:numId="18">
    <w:abstractNumId w:val="10"/>
  </w:num>
  <w:num w:numId="19">
    <w:abstractNumId w:val="17"/>
  </w:num>
  <w:num w:numId="20">
    <w:abstractNumId w:val="20"/>
  </w:num>
  <w:num w:numId="21">
    <w:abstractNumId w:val="6"/>
  </w:num>
  <w:num w:numId="22">
    <w:abstractNumId w:val="1"/>
  </w:num>
  <w:num w:numId="23">
    <w:abstractNumId w:val="16"/>
  </w:num>
  <w:num w:numId="24">
    <w:abstractNumId w:val="3"/>
  </w:num>
  <w:num w:numId="25">
    <w:abstractNumId w:val="15"/>
  </w:num>
  <w:num w:numId="26">
    <w:abstractNumId w:val="12"/>
  </w:num>
  <w:num w:numId="27">
    <w:abstractNumId w:val="21"/>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36E7"/>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4BC"/>
    <w:rsid w:val="00124F18"/>
    <w:rsid w:val="00125E70"/>
    <w:rsid w:val="001444A4"/>
    <w:rsid w:val="0015268F"/>
    <w:rsid w:val="001607EF"/>
    <w:rsid w:val="00175C8D"/>
    <w:rsid w:val="001821EA"/>
    <w:rsid w:val="0018554B"/>
    <w:rsid w:val="001A1A1A"/>
    <w:rsid w:val="001B45F9"/>
    <w:rsid w:val="001C3F20"/>
    <w:rsid w:val="001C7016"/>
    <w:rsid w:val="001D3B57"/>
    <w:rsid w:val="001E023A"/>
    <w:rsid w:val="001E7DCE"/>
    <w:rsid w:val="001F02AE"/>
    <w:rsid w:val="001F6F2D"/>
    <w:rsid w:val="00213DD1"/>
    <w:rsid w:val="0021520E"/>
    <w:rsid w:val="002167AA"/>
    <w:rsid w:val="00220D73"/>
    <w:rsid w:val="00233414"/>
    <w:rsid w:val="0024633F"/>
    <w:rsid w:val="002573ED"/>
    <w:rsid w:val="0026495B"/>
    <w:rsid w:val="00265977"/>
    <w:rsid w:val="00270D60"/>
    <w:rsid w:val="002721D2"/>
    <w:rsid w:val="00277023"/>
    <w:rsid w:val="00286A33"/>
    <w:rsid w:val="002A6640"/>
    <w:rsid w:val="002A6684"/>
    <w:rsid w:val="002B4B71"/>
    <w:rsid w:val="002B5A00"/>
    <w:rsid w:val="002B6B25"/>
    <w:rsid w:val="002C6EA5"/>
    <w:rsid w:val="002C6EAC"/>
    <w:rsid w:val="002D1378"/>
    <w:rsid w:val="002D2A84"/>
    <w:rsid w:val="002E17F5"/>
    <w:rsid w:val="002E3C0F"/>
    <w:rsid w:val="002F001F"/>
    <w:rsid w:val="002F07C1"/>
    <w:rsid w:val="003236F2"/>
    <w:rsid w:val="00330A03"/>
    <w:rsid w:val="00331F28"/>
    <w:rsid w:val="00334DF4"/>
    <w:rsid w:val="003353ED"/>
    <w:rsid w:val="003411E2"/>
    <w:rsid w:val="00352849"/>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A89"/>
    <w:rsid w:val="0049232A"/>
    <w:rsid w:val="004A74F8"/>
    <w:rsid w:val="004B0415"/>
    <w:rsid w:val="004B1B0B"/>
    <w:rsid w:val="004B6B0D"/>
    <w:rsid w:val="004C575E"/>
    <w:rsid w:val="004E266D"/>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1E50"/>
    <w:rsid w:val="005849FA"/>
    <w:rsid w:val="0058614E"/>
    <w:rsid w:val="00593EAA"/>
    <w:rsid w:val="00596CD9"/>
    <w:rsid w:val="005B56E2"/>
    <w:rsid w:val="005D3D2F"/>
    <w:rsid w:val="005D4B75"/>
    <w:rsid w:val="005D5C91"/>
    <w:rsid w:val="005D6EBA"/>
    <w:rsid w:val="005D79C1"/>
    <w:rsid w:val="005E4E66"/>
    <w:rsid w:val="005F0FBD"/>
    <w:rsid w:val="005F6868"/>
    <w:rsid w:val="005F6F55"/>
    <w:rsid w:val="00606410"/>
    <w:rsid w:val="006075F6"/>
    <w:rsid w:val="006122A0"/>
    <w:rsid w:val="00615AC3"/>
    <w:rsid w:val="00620DE1"/>
    <w:rsid w:val="0062671C"/>
    <w:rsid w:val="00627E90"/>
    <w:rsid w:val="006322FC"/>
    <w:rsid w:val="0063645E"/>
    <w:rsid w:val="00642513"/>
    <w:rsid w:val="0066161F"/>
    <w:rsid w:val="00664DE9"/>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6F6EF1"/>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7F3427"/>
    <w:rsid w:val="00806A13"/>
    <w:rsid w:val="00810152"/>
    <w:rsid w:val="00812AA4"/>
    <w:rsid w:val="00822801"/>
    <w:rsid w:val="008230E0"/>
    <w:rsid w:val="00827959"/>
    <w:rsid w:val="0084070A"/>
    <w:rsid w:val="00853729"/>
    <w:rsid w:val="00854430"/>
    <w:rsid w:val="008544BB"/>
    <w:rsid w:val="00855F7B"/>
    <w:rsid w:val="008577EC"/>
    <w:rsid w:val="0086627C"/>
    <w:rsid w:val="00870059"/>
    <w:rsid w:val="00874C4C"/>
    <w:rsid w:val="008755DA"/>
    <w:rsid w:val="008844E1"/>
    <w:rsid w:val="008A02B7"/>
    <w:rsid w:val="008A1F63"/>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1CC"/>
    <w:rsid w:val="009603ED"/>
    <w:rsid w:val="00964016"/>
    <w:rsid w:val="00967246"/>
    <w:rsid w:val="009740C2"/>
    <w:rsid w:val="00975F1E"/>
    <w:rsid w:val="009765B9"/>
    <w:rsid w:val="00983D01"/>
    <w:rsid w:val="00992502"/>
    <w:rsid w:val="009A146A"/>
    <w:rsid w:val="009B64A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233E"/>
    <w:rsid w:val="00A54FCD"/>
    <w:rsid w:val="00A668A6"/>
    <w:rsid w:val="00A735B4"/>
    <w:rsid w:val="00A7434E"/>
    <w:rsid w:val="00A75DEF"/>
    <w:rsid w:val="00A802F1"/>
    <w:rsid w:val="00A943CA"/>
    <w:rsid w:val="00A944F6"/>
    <w:rsid w:val="00A95132"/>
    <w:rsid w:val="00AA6994"/>
    <w:rsid w:val="00AB62BE"/>
    <w:rsid w:val="00AC6B43"/>
    <w:rsid w:val="00AD3FDB"/>
    <w:rsid w:val="00AD4CE4"/>
    <w:rsid w:val="00AE3464"/>
    <w:rsid w:val="00B310F0"/>
    <w:rsid w:val="00B31E39"/>
    <w:rsid w:val="00B34E29"/>
    <w:rsid w:val="00B373EA"/>
    <w:rsid w:val="00B41AA3"/>
    <w:rsid w:val="00B56AC5"/>
    <w:rsid w:val="00B6214E"/>
    <w:rsid w:val="00B66158"/>
    <w:rsid w:val="00B71525"/>
    <w:rsid w:val="00B72A3F"/>
    <w:rsid w:val="00B814FE"/>
    <w:rsid w:val="00B962D3"/>
    <w:rsid w:val="00BB3C4E"/>
    <w:rsid w:val="00BB7C9B"/>
    <w:rsid w:val="00BC3BF5"/>
    <w:rsid w:val="00BC5C9F"/>
    <w:rsid w:val="00BC7CFE"/>
    <w:rsid w:val="00BE2A89"/>
    <w:rsid w:val="00BE6AA8"/>
    <w:rsid w:val="00BE723F"/>
    <w:rsid w:val="00BF3A98"/>
    <w:rsid w:val="00BF694D"/>
    <w:rsid w:val="00C064FC"/>
    <w:rsid w:val="00C07D8B"/>
    <w:rsid w:val="00C110F5"/>
    <w:rsid w:val="00C11A44"/>
    <w:rsid w:val="00C14342"/>
    <w:rsid w:val="00C15D49"/>
    <w:rsid w:val="00C4420E"/>
    <w:rsid w:val="00C50AFA"/>
    <w:rsid w:val="00C67F0A"/>
    <w:rsid w:val="00C9757D"/>
    <w:rsid w:val="00CA5E9C"/>
    <w:rsid w:val="00CB0164"/>
    <w:rsid w:val="00CC28CD"/>
    <w:rsid w:val="00D02BE0"/>
    <w:rsid w:val="00D10164"/>
    <w:rsid w:val="00D128A4"/>
    <w:rsid w:val="00D20C7D"/>
    <w:rsid w:val="00D44273"/>
    <w:rsid w:val="00D45430"/>
    <w:rsid w:val="00D459CC"/>
    <w:rsid w:val="00D55048"/>
    <w:rsid w:val="00D5542F"/>
    <w:rsid w:val="00D56EE3"/>
    <w:rsid w:val="00D67AEF"/>
    <w:rsid w:val="00D72C95"/>
    <w:rsid w:val="00D772EB"/>
    <w:rsid w:val="00D8217B"/>
    <w:rsid w:val="00D8699C"/>
    <w:rsid w:val="00D9600D"/>
    <w:rsid w:val="00DA4A7D"/>
    <w:rsid w:val="00DB01A4"/>
    <w:rsid w:val="00DB1878"/>
    <w:rsid w:val="00DB4211"/>
    <w:rsid w:val="00DB5A7A"/>
    <w:rsid w:val="00DC1DAC"/>
    <w:rsid w:val="00DC407E"/>
    <w:rsid w:val="00DC6118"/>
    <w:rsid w:val="00DD4CDD"/>
    <w:rsid w:val="00DF1D07"/>
    <w:rsid w:val="00E01E3D"/>
    <w:rsid w:val="00E03936"/>
    <w:rsid w:val="00E0454F"/>
    <w:rsid w:val="00E1183D"/>
    <w:rsid w:val="00E12234"/>
    <w:rsid w:val="00E152A7"/>
    <w:rsid w:val="00E16314"/>
    <w:rsid w:val="00E51C61"/>
    <w:rsid w:val="00E5673D"/>
    <w:rsid w:val="00E56D32"/>
    <w:rsid w:val="00E62359"/>
    <w:rsid w:val="00E82F54"/>
    <w:rsid w:val="00E9571A"/>
    <w:rsid w:val="00EA1F8F"/>
    <w:rsid w:val="00ED7A9C"/>
    <w:rsid w:val="00EE12C9"/>
    <w:rsid w:val="00EE6AA7"/>
    <w:rsid w:val="00EF5DB0"/>
    <w:rsid w:val="00EF603B"/>
    <w:rsid w:val="00F05D21"/>
    <w:rsid w:val="00F1054E"/>
    <w:rsid w:val="00F4584F"/>
    <w:rsid w:val="00F46839"/>
    <w:rsid w:val="00F50B3F"/>
    <w:rsid w:val="00F56EA0"/>
    <w:rsid w:val="00F631E7"/>
    <w:rsid w:val="00F7271D"/>
    <w:rsid w:val="00F82AEF"/>
    <w:rsid w:val="00FA1EFC"/>
    <w:rsid w:val="00FA2979"/>
    <w:rsid w:val="00FA619A"/>
    <w:rsid w:val="00FA751A"/>
    <w:rsid w:val="00FB064D"/>
    <w:rsid w:val="00FB1B0E"/>
    <w:rsid w:val="00FB426B"/>
    <w:rsid w:val="00FC385E"/>
    <w:rsid w:val="00FC3F57"/>
    <w:rsid w:val="00FC7CF8"/>
    <w:rsid w:val="00FE37A2"/>
    <w:rsid w:val="00FF40C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D047063E-EB80-40ED-AADF-1E8A1EA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DF1D-A657-4FE0-B18E-DC44A9ED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13683</Words>
  <Characters>7800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Степаненко Наталія Петрівна</cp:lastModifiedBy>
  <cp:revision>2</cp:revision>
  <cp:lastPrinted>2020-07-28T11:57:00Z</cp:lastPrinted>
  <dcterms:created xsi:type="dcterms:W3CDTF">2026-02-24T08:30:00Z</dcterms:created>
  <dcterms:modified xsi:type="dcterms:W3CDTF">2026-02-24T08:30:00Z</dcterms:modified>
</cp:coreProperties>
</file>