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C7A3" w14:textId="03376659" w:rsidR="002419C5" w:rsidRPr="00DB4C82" w:rsidRDefault="00662629"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DB4C82">
        <w:rPr>
          <w:rFonts w:ascii="Times New Roman" w:eastAsia="Times New Roman" w:hAnsi="Times New Roman" w:cs="Times New Roman"/>
          <w:b/>
          <w:sz w:val="28"/>
          <w:szCs w:val="28"/>
          <w:u w:val="single"/>
          <w:lang w:eastAsia="uk-UA"/>
        </w:rPr>
        <w:t>Правила формування показників</w:t>
      </w:r>
      <w:r w:rsidRPr="00DB4C82">
        <w:rPr>
          <w:rFonts w:ascii="Times New Roman" w:eastAsia="Times New Roman" w:hAnsi="Times New Roman" w:cs="Times New Roman"/>
          <w:b/>
          <w:sz w:val="28"/>
          <w:szCs w:val="28"/>
          <w:u w:val="single"/>
          <w:lang w:val="ru-RU" w:eastAsia="uk-UA"/>
        </w:rPr>
        <w:t xml:space="preserve"> </w:t>
      </w:r>
      <w:r w:rsidRPr="00DB4C82">
        <w:rPr>
          <w:rFonts w:ascii="Times New Roman" w:eastAsia="Times New Roman" w:hAnsi="Times New Roman" w:cs="Times New Roman"/>
          <w:b/>
          <w:sz w:val="28"/>
          <w:szCs w:val="28"/>
          <w:u w:val="single"/>
          <w:lang w:eastAsia="uk-UA"/>
        </w:rPr>
        <w:t>файла 1</w:t>
      </w:r>
      <w:r w:rsidRPr="00DB4C82">
        <w:rPr>
          <w:rFonts w:ascii="Times New Roman" w:eastAsia="Times New Roman" w:hAnsi="Times New Roman" w:cs="Times New Roman"/>
          <w:b/>
          <w:sz w:val="28"/>
          <w:szCs w:val="28"/>
          <w:u w:val="single"/>
          <w:lang w:val="ru-RU" w:eastAsia="uk-UA"/>
        </w:rPr>
        <w:t>2</w:t>
      </w:r>
      <w:r w:rsidRPr="00DB4C82">
        <w:rPr>
          <w:rFonts w:ascii="Times New Roman" w:eastAsia="Times New Roman" w:hAnsi="Times New Roman" w:cs="Times New Roman"/>
          <w:b/>
          <w:sz w:val="28"/>
          <w:szCs w:val="28"/>
          <w:u w:val="single"/>
          <w:lang w:val="en-US" w:eastAsia="uk-UA"/>
        </w:rPr>
        <w:t>X</w:t>
      </w:r>
      <w:r w:rsidRPr="00DB4C82">
        <w:rPr>
          <w:rFonts w:ascii="Times New Roman" w:eastAsia="Times New Roman" w:hAnsi="Times New Roman" w:cs="Times New Roman"/>
          <w:b/>
          <w:sz w:val="28"/>
          <w:szCs w:val="28"/>
          <w:u w:val="single"/>
          <w:lang w:eastAsia="uk-UA"/>
        </w:rPr>
        <w:t xml:space="preserve"> “Дані про касові обороти банку</w:t>
      </w:r>
      <w:r w:rsidRPr="00DB4C82">
        <w:rPr>
          <w:rFonts w:ascii="Times New Roman" w:eastAsia="Times New Roman" w:hAnsi="Times New Roman" w:cs="Times New Roman"/>
          <w:b/>
          <w:sz w:val="28"/>
          <w:szCs w:val="28"/>
          <w:u w:val="single"/>
          <w:lang w:val="ru-RU" w:eastAsia="uk-UA"/>
        </w:rPr>
        <w:t>/</w:t>
      </w:r>
      <w:r w:rsidRPr="00DB4C82">
        <w:rPr>
          <w:rFonts w:ascii="Times New Roman" w:eastAsia="Times New Roman" w:hAnsi="Times New Roman" w:cs="Times New Roman"/>
          <w:b/>
          <w:sz w:val="28"/>
          <w:szCs w:val="28"/>
          <w:u w:val="single"/>
          <w:lang w:eastAsia="uk-UA"/>
        </w:rPr>
        <w:t>інкасаторської компанії/компанії з оброблення готівки”</w:t>
      </w:r>
    </w:p>
    <w:p w14:paraId="3EAAB891" w14:textId="77777777" w:rsidR="001C6465" w:rsidRPr="00DB4C82" w:rsidRDefault="001C6465" w:rsidP="00290A63">
      <w:pPr>
        <w:spacing w:after="120" w:line="240" w:lineRule="auto"/>
        <w:jc w:val="center"/>
        <w:rPr>
          <w:rFonts w:ascii="Times New Roman" w:eastAsia="Times New Roman" w:hAnsi="Times New Roman" w:cs="Times New Roman"/>
          <w:b/>
          <w:sz w:val="28"/>
          <w:szCs w:val="28"/>
          <w:u w:val="single"/>
          <w:lang w:eastAsia="uk-UA"/>
        </w:rPr>
      </w:pPr>
    </w:p>
    <w:p w14:paraId="3677725C" w14:textId="5D717E9A" w:rsidR="001C6465" w:rsidRPr="00DB4C82" w:rsidRDefault="001C6465" w:rsidP="001C6465">
      <w:pPr>
        <w:spacing w:after="120" w:line="240" w:lineRule="auto"/>
        <w:ind w:firstLine="708"/>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банками</w:t>
      </w:r>
    </w:p>
    <w:p w14:paraId="6612CA43" w14:textId="77777777" w:rsidR="006C1304" w:rsidRPr="00DB4C82" w:rsidRDefault="006C1304" w:rsidP="001C6465">
      <w:pPr>
        <w:spacing w:after="120" w:line="240" w:lineRule="auto"/>
        <w:ind w:firstLine="708"/>
        <w:rPr>
          <w:rFonts w:ascii="Times New Roman" w:eastAsia="Times New Roman" w:hAnsi="Times New Roman" w:cs="Times New Roman"/>
          <w:b/>
          <w:sz w:val="28"/>
          <w:szCs w:val="28"/>
          <w:u w:val="single"/>
          <w:lang w:eastAsia="uk-UA"/>
        </w:rPr>
      </w:pPr>
    </w:p>
    <w:p w14:paraId="1F6B0B8A" w14:textId="2CA56970" w:rsidR="0025451C" w:rsidRPr="00DB4C82" w:rsidRDefault="009B0BBB" w:rsidP="005F0DAD">
      <w:pPr>
        <w:spacing w:after="12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68A677FC"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5555E9FE" w14:textId="0A1EA82A"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2. Показник складається за даними бухгалтерського обліку надходжень готівки, які фіксуються </w:t>
      </w:r>
      <w:r w:rsidR="00963038" w:rsidRPr="00DB4C82">
        <w:rPr>
          <w:rFonts w:ascii="Times New Roman" w:eastAsia="Times New Roman" w:hAnsi="Times New Roman" w:cs="Times New Roman"/>
          <w:sz w:val="28"/>
          <w:szCs w:val="28"/>
          <w:lang w:eastAsia="uk-UA"/>
        </w:rPr>
        <w:t xml:space="preserve">в реєстрах аналітичного обліку </w:t>
      </w:r>
      <w:r w:rsidRPr="00DB4C82">
        <w:rPr>
          <w:rFonts w:ascii="Times New Roman" w:eastAsia="Times New Roman" w:hAnsi="Times New Roman" w:cs="Times New Roman"/>
          <w:sz w:val="28"/>
          <w:szCs w:val="28"/>
          <w:lang w:eastAsia="uk-UA"/>
        </w:rPr>
        <w:t>із зазначенням касового символу.</w:t>
      </w:r>
    </w:p>
    <w:p w14:paraId="5BFEA13E"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527CBDE9"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168E6D30" w14:textId="1B83F0AB" w:rsidR="00963038" w:rsidRPr="00DB4C82" w:rsidRDefault="00963038"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реєстрів аналітичного обліку за надходження</w:t>
      </w:r>
      <w:r w:rsidR="00A106FC" w:rsidRPr="00DB4C82">
        <w:rPr>
          <w:rFonts w:ascii="Times New Roman" w:eastAsia="Times New Roman" w:hAnsi="Times New Roman" w:cs="Times New Roman"/>
          <w:sz w:val="28"/>
          <w:szCs w:val="28"/>
          <w:lang w:eastAsia="uk-UA"/>
        </w:rPr>
        <w:t>м</w:t>
      </w:r>
      <w:r w:rsidRPr="00DB4C82">
        <w:rPr>
          <w:rFonts w:ascii="Times New Roman" w:eastAsia="Times New Roman" w:hAnsi="Times New Roman" w:cs="Times New Roman"/>
          <w:b/>
          <w:sz w:val="28"/>
          <w:szCs w:val="28"/>
          <w:lang w:eastAsia="uk-UA"/>
        </w:rPr>
        <w:t xml:space="preserve"> </w:t>
      </w:r>
      <w:r w:rsidRPr="00DB4C82">
        <w:rPr>
          <w:rFonts w:ascii="Times New Roman" w:eastAsia="Times New Roman" w:hAnsi="Times New Roman" w:cs="Times New Roman"/>
          <w:sz w:val="28"/>
          <w:szCs w:val="28"/>
          <w:lang w:eastAsia="uk-UA"/>
        </w:rPr>
        <w:t>готівки в розрізі символів.</w:t>
      </w:r>
    </w:p>
    <w:p w14:paraId="70FF803C" w14:textId="59826C18"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D22579"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27E09E8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w:t>
      </w:r>
      <w:r w:rsidRPr="00DB4C82">
        <w:t xml:space="preserve"> </w:t>
      </w:r>
      <w:r w:rsidRPr="00DB4C82">
        <w:rPr>
          <w:rFonts w:ascii="Times New Roman" w:eastAsia="Times New Roman" w:hAnsi="Times New Roman" w:cs="Times New Roman"/>
          <w:sz w:val="28"/>
          <w:szCs w:val="28"/>
          <w:lang w:eastAsia="uk-UA"/>
        </w:rPr>
        <w:t>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F2F318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w:t>
      </w:r>
      <w:r w:rsidRPr="00DB4C82">
        <w:rPr>
          <w:rFonts w:ascii="Times New Roman" w:eastAsia="Times New Roman" w:hAnsi="Times New Roman" w:cs="Times New Roman"/>
          <w:sz w:val="28"/>
          <w:szCs w:val="28"/>
          <w:lang w:eastAsia="uk-UA"/>
        </w:rPr>
        <w:lastRenderedPageBreak/>
        <w:t>інкасаторської компанії (її підрозділів)/компанії з оброблення готівки (її підрозділів), мають зазначатися:</w:t>
      </w:r>
    </w:p>
    <w:p w14:paraId="008D067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D3E53C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0A93BF12" w14:textId="1B20005D" w:rsidR="002419C5"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Pr="00DB4C82">
        <w:rPr>
          <w:rFonts w:ascii="Times New Roman" w:eastAsia="Times New Roman" w:hAnsi="Times New Roman" w:cs="Times New Roman"/>
          <w:sz w:val="28"/>
          <w:szCs w:val="28"/>
          <w:lang w:val="en-US" w:eastAsia="uk-UA"/>
        </w:rPr>
        <w:t>X</w:t>
      </w:r>
      <w:r w:rsidRPr="00DB4C82">
        <w:rPr>
          <w:rFonts w:ascii="Times New Roman" w:eastAsia="Times New Roman" w:hAnsi="Times New Roman" w:cs="Times New Roman"/>
          <w:sz w:val="28"/>
          <w:szCs w:val="28"/>
          <w:lang w:eastAsia="uk-UA"/>
        </w:rPr>
        <w:t xml:space="preserve"> і даними балансу у розрізі регіонів.</w:t>
      </w:r>
    </w:p>
    <w:p w14:paraId="6115C8F0"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1BCA9042"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Уповноважені банки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450CEB20"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1BA4F87A"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14:paraId="22DD2F99"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1A77BACE"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041B240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20430A60"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46F1BDD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рахунком 1007 на кінець і початок звітного періоду;</w:t>
      </w:r>
    </w:p>
    <w:p w14:paraId="430BFCE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59D49A5C" w14:textId="3DF2EF8F" w:rsidR="002419C5"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4C32ABD0" w14:textId="785DBBF5" w:rsidR="000837C3" w:rsidRPr="00DB4C82" w:rsidRDefault="000837C3" w:rsidP="000837C3">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DB4C82">
        <w:rPr>
          <w:rFonts w:ascii="Times New Roman" w:eastAsia="Times New Roman" w:hAnsi="Times New Roman" w:cs="Times New Roman"/>
          <w:sz w:val="28"/>
          <w:szCs w:val="28"/>
          <w:lang w:eastAsia="uk-UA"/>
        </w:rPr>
        <w:t>строку подання, до 17.00</w:t>
      </w:r>
      <w:r w:rsidRPr="00DB4C82">
        <w:rPr>
          <w:rFonts w:ascii="Times New Roman" w:eastAsia="Times New Roman" w:hAnsi="Times New Roman" w:cs="Times New Roman"/>
          <w:sz w:val="28"/>
          <w:szCs w:val="28"/>
          <w:lang w:eastAsia="uk-UA"/>
        </w:rPr>
        <w:t>.</w:t>
      </w:r>
      <w:r w:rsidRPr="00DB4C82">
        <w:rPr>
          <w:rFonts w:ascii="Times New Roman" w:hAnsi="Times New Roman" w:cs="Times New Roman"/>
          <w:sz w:val="28"/>
          <w:szCs w:val="28"/>
        </w:rPr>
        <w:t xml:space="preserve"> Заміна даних показника</w:t>
      </w:r>
      <w:r w:rsidR="00FB4E13" w:rsidRPr="00DB4C82">
        <w:rPr>
          <w:rFonts w:ascii="Times New Roman" w:hAnsi="Times New Roman" w:cs="Times New Roman"/>
          <w:sz w:val="28"/>
          <w:szCs w:val="28"/>
          <w:lang w:val="ru-RU"/>
        </w:rPr>
        <w:t xml:space="preserve"> </w:t>
      </w:r>
      <w:r w:rsidRPr="00DB4C82">
        <w:rPr>
          <w:rFonts w:ascii="Times New Roman" w:hAnsi="Times New Roman" w:cs="Times New Roman"/>
          <w:sz w:val="28"/>
          <w:szCs w:val="28"/>
        </w:rPr>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4EF63616"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16. Інші зміни (виправлення) до даних показника не вносяться.</w:t>
      </w:r>
    </w:p>
    <w:p w14:paraId="5685B691" w14:textId="07EE2318"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У випадку виявлення у показнику з параметрами D010 (=39, 37, 33)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62B9CAF1" w14:textId="36D6F30B" w:rsidR="00527A50"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DB4C82">
        <w:rPr>
          <w:rFonts w:ascii="Times New Roman" w:eastAsia="Times New Roman" w:hAnsi="Times New Roman" w:cs="Times New Roman"/>
          <w:sz w:val="28"/>
          <w:szCs w:val="28"/>
          <w:lang w:val="ru-RU" w:eastAsia="uk-UA"/>
        </w:rPr>
        <w:t>’</w:t>
      </w:r>
      <w:r w:rsidRPr="00DB4C82">
        <w:rPr>
          <w:rFonts w:ascii="Times New Roman" w:eastAsia="Times New Roman" w:hAnsi="Times New Roman" w:cs="Times New Roman"/>
          <w:sz w:val="28"/>
          <w:szCs w:val="28"/>
          <w:lang w:eastAsia="uk-UA"/>
        </w:rPr>
        <w:t>ясування причин та обставин таких випадків.</w:t>
      </w:r>
    </w:p>
    <w:p w14:paraId="0CAB5978" w14:textId="77777777" w:rsidR="002419C5" w:rsidRPr="00DB4C82"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249402DF" w14:textId="7657007A" w:rsidR="005F0DAD" w:rsidRPr="00DB4C82" w:rsidRDefault="00F12A2C" w:rsidP="005F0DAD">
      <w:pPr>
        <w:spacing w:after="0" w:line="240" w:lineRule="auto"/>
        <w:ind w:firstLine="709"/>
        <w:jc w:val="both"/>
        <w:rPr>
          <w:rFonts w:ascii="Times New Roman" w:eastAsia="Times New Roman" w:hAnsi="Times New Roman" w:cs="Times New Roman"/>
          <w:sz w:val="28"/>
          <w:szCs w:val="28"/>
          <w:u w:val="single"/>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5D3EFA47"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4146AC1"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2E505CB5" w14:textId="3244794C"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2. </w:t>
      </w:r>
      <w:r w:rsidR="00963038" w:rsidRPr="00DB4C82">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5C01697D"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14:paraId="3D38C32B" w14:textId="21FE425C"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4. </w:t>
      </w:r>
      <w:r w:rsidR="00963038" w:rsidRPr="00DB4C82">
        <w:rPr>
          <w:rFonts w:ascii="Times New Roman" w:eastAsia="Times New Roman" w:hAnsi="Times New Roman" w:cs="Times New Roman"/>
          <w:sz w:val="28"/>
          <w:szCs w:val="28"/>
          <w:lang w:eastAsia="uk-UA"/>
        </w:rPr>
        <w:t>За допомогою системи автоматизації банку (САБ) щодня формується відомість обліку оборотів за касовими символами на підставі щоденних даних реєстрів аналітичного обліку за видачами готівки в розрізі символів.</w:t>
      </w:r>
    </w:p>
    <w:p w14:paraId="45A40B88" w14:textId="01DF5483"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22579"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57972AE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w:t>
      </w:r>
      <w:r w:rsidRPr="00DB4C82">
        <w:rPr>
          <w:rFonts w:ascii="Times New Roman" w:eastAsia="Times New Roman" w:hAnsi="Times New Roman" w:cs="Times New Roman"/>
          <w:sz w:val="28"/>
          <w:szCs w:val="28"/>
          <w:lang w:eastAsia="uk-UA"/>
        </w:rPr>
        <w:lastRenderedPageBreak/>
        <w:t>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5D557D37"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мають зазначатися:</w:t>
      </w:r>
    </w:p>
    <w:p w14:paraId="33B181A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BC7688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6C02488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Pr="00DB4C82">
        <w:rPr>
          <w:rFonts w:ascii="Times New Roman" w:eastAsia="Times New Roman" w:hAnsi="Times New Roman" w:cs="Times New Roman"/>
          <w:sz w:val="28"/>
          <w:szCs w:val="28"/>
          <w:lang w:val="en-US" w:eastAsia="uk-UA"/>
        </w:rPr>
        <w:t>X</w:t>
      </w:r>
      <w:r w:rsidRPr="00DB4C82">
        <w:rPr>
          <w:rFonts w:ascii="Times New Roman" w:eastAsia="Times New Roman" w:hAnsi="Times New Roman" w:cs="Times New Roman"/>
          <w:sz w:val="28"/>
          <w:szCs w:val="28"/>
          <w:lang w:eastAsia="uk-UA"/>
        </w:rPr>
        <w:t xml:space="preserve"> і даними балансу у розрізі регіонів.</w:t>
      </w:r>
    </w:p>
    <w:p w14:paraId="255D7661" w14:textId="2EA641EF"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Банк, який під час здійснення операцій з передавання готівки іншим банкам/інкасаторським компаніям/компаніям з оброблення готівки 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0D93228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609FA2B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Уповноважені банки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6731A62F"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10. Баланс із надходження готівки до каси банку (символи 02-39) має збігатися з балансом з видачі готівки з кас банків (символи 40-73).</w:t>
      </w:r>
    </w:p>
    <w:p w14:paraId="76C14E42"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14:paraId="70E43D7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7F1742C4"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9FF42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50ADC60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3592089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3E5FE50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7D3247C0" w14:textId="7FE29136"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0CF78C03" w14:textId="766A4C5C" w:rsidR="00E42D16" w:rsidRPr="00DB4C82" w:rsidRDefault="00E42D16" w:rsidP="00E42D1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DB4C82">
        <w:rPr>
          <w:rFonts w:ascii="Times New Roman" w:eastAsia="Times New Roman" w:hAnsi="Times New Roman" w:cs="Times New Roman"/>
          <w:sz w:val="28"/>
          <w:szCs w:val="28"/>
          <w:lang w:eastAsia="uk-UA"/>
        </w:rPr>
        <w:t>строку подання, до 17.00</w:t>
      </w:r>
      <w:r w:rsidRPr="00DB4C82">
        <w:rPr>
          <w:rFonts w:ascii="Times New Roman" w:eastAsia="Times New Roman" w:hAnsi="Times New Roman" w:cs="Times New Roman"/>
          <w:sz w:val="28"/>
          <w:szCs w:val="28"/>
          <w:lang w:eastAsia="uk-UA"/>
        </w:rPr>
        <w:t>.</w:t>
      </w:r>
      <w:r w:rsidR="000837C3" w:rsidRPr="00DB4C82">
        <w:rPr>
          <w:rFonts w:ascii="Times New Roman" w:hAnsi="Times New Roman" w:cs="Times New Roman"/>
          <w:sz w:val="28"/>
          <w:szCs w:val="28"/>
        </w:rPr>
        <w:t xml:space="preserve"> Заміна даних показника здійснюється,</w:t>
      </w:r>
      <w:r w:rsidR="000837C3" w:rsidRPr="00DB4C82">
        <w:rPr>
          <w:rFonts w:ascii="Times New Roman" w:hAnsi="Times New Roman" w:cs="Times New Roman"/>
        </w:rPr>
        <w:t xml:space="preserve"> </w:t>
      </w:r>
      <w:r w:rsidR="000837C3"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0FC2FAED"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16. Інші зміни (виправлення) до даних показника не вносяться.</w:t>
      </w:r>
    </w:p>
    <w:p w14:paraId="4621138A" w14:textId="72A806C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7DF76CDF" w14:textId="1AE7E40E"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18. У разі виявлення невідповідності даних показника даним балансу, а також суттєвих змін у динаміці касових оборотів банку Департамент грошового </w:t>
      </w:r>
      <w:r w:rsidRPr="00DB4C82">
        <w:rPr>
          <w:rFonts w:ascii="Times New Roman" w:eastAsia="Times New Roman" w:hAnsi="Times New Roman" w:cs="Times New Roman"/>
          <w:sz w:val="28"/>
          <w:szCs w:val="28"/>
          <w:lang w:eastAsia="uk-UA"/>
        </w:rPr>
        <w:lastRenderedPageBreak/>
        <w:t>обігу може надавати письмові запити щодо з</w:t>
      </w:r>
      <w:r w:rsidR="00FB4E13" w:rsidRPr="00DB4C82">
        <w:rPr>
          <w:rFonts w:ascii="Times New Roman" w:eastAsia="Times New Roman" w:hAnsi="Times New Roman" w:cs="Times New Roman"/>
          <w:sz w:val="28"/>
          <w:szCs w:val="28"/>
          <w:lang w:val="ru-RU" w:eastAsia="uk-UA"/>
        </w:rPr>
        <w:t>’</w:t>
      </w:r>
      <w:r w:rsidRPr="00DB4C82">
        <w:rPr>
          <w:rFonts w:ascii="Times New Roman" w:eastAsia="Times New Roman" w:hAnsi="Times New Roman" w:cs="Times New Roman"/>
          <w:sz w:val="28"/>
          <w:szCs w:val="28"/>
          <w:lang w:eastAsia="uk-UA"/>
        </w:rPr>
        <w:t>ясування причин та обставин таких випадків.</w:t>
      </w:r>
    </w:p>
    <w:p w14:paraId="18189BC1"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0D1DDA4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компанії/каси компанії з оброблення готівки на початок звітного періоду”</w:t>
      </w:r>
    </w:p>
    <w:p w14:paraId="4D4CAC97"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5B915C6F" w14:textId="1185F6EC"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початок звітного періоду.</w:t>
      </w:r>
    </w:p>
    <w:p w14:paraId="7293F38D" w14:textId="3F28294D"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30F35146"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0181B76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864F2FB"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3CA72DC"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14:paraId="08A5218A"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420466C7"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3DE7AA3F"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253A220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w:t>
      </w:r>
      <w:r w:rsidRPr="00DB4C82">
        <w:rPr>
          <w:rFonts w:ascii="Times New Roman" w:eastAsia="Times New Roman" w:hAnsi="Times New Roman" w:cs="Times New Roman"/>
          <w:b/>
          <w:sz w:val="28"/>
          <w:szCs w:val="28"/>
          <w:u w:val="single"/>
          <w:lang w:val="en-US" w:eastAsia="uk-UA"/>
        </w:rPr>
        <w:t>V</w:t>
      </w:r>
      <w:r w:rsidRPr="00DB4C82">
        <w:rPr>
          <w:rFonts w:ascii="Times New Roman" w:eastAsia="Times New Roman" w:hAnsi="Times New Roman" w:cs="Times New Roman"/>
          <w:b/>
          <w:sz w:val="28"/>
          <w:szCs w:val="28"/>
          <w:u w:val="single"/>
          <w:lang w:eastAsia="uk-UA"/>
        </w:rPr>
        <w:t xml:space="preserve">.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компанії/каси компанії з оброблення готівки на кінець звітного періоду”</w:t>
      </w:r>
    </w:p>
    <w:p w14:paraId="423882C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5BF2035A" w14:textId="0CFDA5B2"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кінець звітного періоду.</w:t>
      </w:r>
    </w:p>
    <w:p w14:paraId="6E777819" w14:textId="7F9FEC6D"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78474034"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14:paraId="6077051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510B73D0"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3F66C356"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14:paraId="64608CBD" w14:textId="48A79375"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залишок готівки в операційній касі установ банків на кінець звітного періоду (символ 70) має відповідати її залишкам на рахунках 1001 –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670407F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05D8D425" w14:textId="77777777" w:rsidR="0002074B" w:rsidRPr="00DB4C82" w:rsidRDefault="0002074B" w:rsidP="005F0DAD">
      <w:pPr>
        <w:spacing w:after="0" w:line="240" w:lineRule="auto"/>
        <w:ind w:firstLine="709"/>
        <w:jc w:val="both"/>
        <w:rPr>
          <w:rFonts w:ascii="Times New Roman" w:eastAsia="Times New Roman" w:hAnsi="Times New Roman" w:cs="Times New Roman"/>
          <w:sz w:val="28"/>
          <w:szCs w:val="28"/>
          <w:lang w:eastAsia="uk-UA"/>
        </w:rPr>
      </w:pPr>
    </w:p>
    <w:p w14:paraId="5637FFD0"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3D5DA734"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p>
    <w:p w14:paraId="7E89FF28" w14:textId="4CE44B29" w:rsidR="0002074B"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І. A12001 “Надходження (переміщення) готівки до операційної каси банку/каси інкасаторської компанії/каси компанії з оброблення готівки”</w:t>
      </w:r>
    </w:p>
    <w:p w14:paraId="118357FE" w14:textId="77777777" w:rsidR="006C1304" w:rsidRPr="00DB4C82" w:rsidRDefault="006C1304" w:rsidP="00F12A2C">
      <w:pPr>
        <w:spacing w:after="0" w:line="240" w:lineRule="auto"/>
        <w:ind w:firstLine="709"/>
        <w:rPr>
          <w:rFonts w:ascii="Times New Roman" w:eastAsia="Times New Roman" w:hAnsi="Times New Roman" w:cs="Times New Roman"/>
          <w:b/>
          <w:sz w:val="28"/>
          <w:szCs w:val="28"/>
          <w:u w:val="single"/>
          <w:lang w:eastAsia="uk-UA"/>
        </w:rPr>
      </w:pPr>
    </w:p>
    <w:p w14:paraId="0F0E9BBE" w14:textId="77777777" w:rsidR="0002074B" w:rsidRPr="00DB4C82" w:rsidRDefault="0002074B"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3E798564" w14:textId="03D0F65D"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56FF1E1A"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DB4C82">
        <w:rPr>
          <w:rFonts w:ascii="Times New Roman" w:hAnsi="Times New Roman" w:cs="Times New Roman"/>
        </w:rPr>
        <w:t xml:space="preserve"> </w:t>
      </w:r>
      <w:r w:rsidRPr="00DB4C82">
        <w:rPr>
          <w:rFonts w:ascii="Times New Roman" w:hAnsi="Times New Roman" w:cs="Times New Roman"/>
          <w:sz w:val="28"/>
          <w:szCs w:val="28"/>
        </w:rPr>
        <w:t>відповідно</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14329DF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val="ru-RU" w:eastAsia="uk-UA"/>
        </w:rPr>
      </w:pPr>
      <w:r w:rsidRPr="00DB4C82">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2536C9E3"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1EBE12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11289CC3"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14:paraId="5E129C4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0B02863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дані про інші чинники, що впливають на невідповідність між даними показників файла 12Х у розрізі регіонів.</w:t>
      </w:r>
    </w:p>
    <w:p w14:paraId="7AE4DD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1D21AEE8" w14:textId="391917EE"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303FCA3B" w14:textId="33C4C925" w:rsidR="0002074B" w:rsidRPr="00DB4C82"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8</w:t>
      </w:r>
      <w:r w:rsidR="0002074B" w:rsidRPr="00DB4C82">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70DF5F2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9</w:t>
      </w:r>
      <w:r w:rsidRPr="00DB4C82">
        <w:rPr>
          <w:rFonts w:ascii="Times New Roman" w:eastAsia="Times New Roman" w:hAnsi="Times New Roman" w:cs="Times New Roman"/>
          <w:sz w:val="28"/>
          <w:szCs w:val="28"/>
          <w:lang w:eastAsia="uk-UA"/>
        </w:rPr>
        <w:t>.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4452171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10</w:t>
      </w:r>
      <w:r w:rsidRPr="00DB4C82">
        <w:rPr>
          <w:rFonts w:ascii="Times New Roman" w:eastAsia="Times New Roman" w:hAnsi="Times New Roman" w:cs="Times New Roman"/>
          <w:sz w:val="28"/>
          <w:szCs w:val="28"/>
          <w:lang w:eastAsia="uk-UA"/>
        </w:rPr>
        <w:t>. Показники перевіряються Департаментом грошового обігу за інкасаторськими компаніями/компаніями з оброблення готівки в розрізі регіонів з урахуванням такого:</w:t>
      </w:r>
    </w:p>
    <w:p w14:paraId="1C4D7300"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w:t>
      </w:r>
      <w:r w:rsidRPr="00DB4C82">
        <w:t>/</w:t>
      </w:r>
      <w:r w:rsidRPr="00DB4C82">
        <w:rPr>
          <w:rFonts w:ascii="Times New Roman" w:eastAsia="Times New Roman" w:hAnsi="Times New Roman" w:cs="Times New Roman"/>
          <w:sz w:val="28"/>
          <w:szCs w:val="28"/>
          <w:lang w:eastAsia="uk-UA"/>
        </w:rPr>
        <w:t>каси компанії з оброблення готівки, кас її підрозділів з оборотної каси Національного банку, операційних кас банків та їх відокремлених підрозділів (відділення/платіжні пристрої); про прийняття до каси інкасаторської компанії/компанії з оброблення готівки готівки банку, що знаходилась на зберіганні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62419B11"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за символом 39 звіряються з даними за символом 66;</w:t>
      </w:r>
    </w:p>
    <w:p w14:paraId="09E6D3B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755B71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компаніями/компаніями з оброблення готівки помилок, виявлених протягом звітного періоду.</w:t>
      </w:r>
    </w:p>
    <w:p w14:paraId="2FCFDAE3" w14:textId="2E5E3830"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11</w:t>
      </w:r>
      <w:r w:rsidRPr="00DB4C82">
        <w:rPr>
          <w:rFonts w:ascii="Times New Roman" w:eastAsia="Times New Roman" w:hAnsi="Times New Roman" w:cs="Times New Roman"/>
          <w:sz w:val="28"/>
          <w:szCs w:val="28"/>
          <w:lang w:eastAsia="uk-UA"/>
        </w:rPr>
        <w:t>.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строку подання, до 17.00.</w:t>
      </w:r>
      <w:r w:rsidRPr="00DB4C82">
        <w:rPr>
          <w:rFonts w:ascii="Times New Roman" w:hAnsi="Times New Roman" w:cs="Times New Roman"/>
          <w:sz w:val="28"/>
          <w:szCs w:val="28"/>
        </w:rPr>
        <w:t xml:space="preserve"> Заміна даних показника</w:t>
      </w:r>
      <w:r w:rsidRPr="00DB4C82">
        <w:rPr>
          <w:rFonts w:ascii="Times New Roman" w:hAnsi="Times New Roman" w:cs="Times New Roman"/>
        </w:rPr>
        <w:t xml:space="preserve"> </w:t>
      </w:r>
      <w:r w:rsidRPr="00DB4C82">
        <w:rPr>
          <w:rFonts w:ascii="Times New Roman" w:hAnsi="Times New Roman" w:cs="Times New Roman"/>
          <w:sz w:val="28"/>
          <w:szCs w:val="28"/>
        </w:rPr>
        <w:lastRenderedPageBreak/>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540CFB19" w14:textId="48B8C9A1" w:rsidR="0002074B" w:rsidRPr="00DB4C82"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12</w:t>
      </w:r>
      <w:r w:rsidR="0002074B" w:rsidRPr="00DB4C82">
        <w:rPr>
          <w:rFonts w:ascii="Times New Roman" w:eastAsia="Times New Roman" w:hAnsi="Times New Roman" w:cs="Times New Roman"/>
          <w:sz w:val="28"/>
          <w:szCs w:val="28"/>
          <w:lang w:eastAsia="uk-UA"/>
        </w:rPr>
        <w:t>. Інші зміни (виправлення) до даних показника не вносяться.</w:t>
      </w:r>
    </w:p>
    <w:p w14:paraId="7295A61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13</w:t>
      </w:r>
      <w:r w:rsidRPr="00DB4C82">
        <w:rPr>
          <w:rFonts w:ascii="Times New Roman" w:eastAsia="Times New Roman" w:hAnsi="Times New Roman" w:cs="Times New Roman"/>
          <w:sz w:val="28"/>
          <w:szCs w:val="28"/>
          <w:lang w:eastAsia="uk-UA"/>
        </w:rPr>
        <w:t>. У випадку виявлення у показнику з параметром D010 (=37, 39) помилки, допущеної інкасаторською компанією/компанією з оброблення готівки,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2218D3BE" w14:textId="7D903F47"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1D8954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2D7FEAF4" w14:textId="4C6A2EBE" w:rsidR="0002074B" w:rsidRPr="00DB4C82" w:rsidRDefault="00F12A2C" w:rsidP="0002074B">
      <w:pPr>
        <w:spacing w:after="0" w:line="240" w:lineRule="auto"/>
        <w:ind w:firstLine="709"/>
        <w:jc w:val="both"/>
        <w:rPr>
          <w:rFonts w:ascii="Times New Roman" w:eastAsia="Times New Roman" w:hAnsi="Times New Roman" w:cs="Times New Roman"/>
          <w:sz w:val="28"/>
          <w:szCs w:val="28"/>
          <w:u w:val="single"/>
          <w:lang w:eastAsia="uk-UA"/>
        </w:rPr>
      </w:pPr>
      <w:r w:rsidRPr="00DB4C82">
        <w:rPr>
          <w:rFonts w:ascii="Times New Roman" w:eastAsia="Times New Roman" w:hAnsi="Times New Roman" w:cs="Times New Roman"/>
          <w:b/>
          <w:sz w:val="28"/>
          <w:szCs w:val="28"/>
          <w:u w:val="single"/>
          <w:lang w:eastAsia="uk-UA"/>
        </w:rPr>
        <w:t>ІІ. A12002 “Видача (переміщення) готівки з операційної каси банку/каси інкасаторської компанії/каси компанії з оброблення готівки”</w:t>
      </w:r>
    </w:p>
    <w:p w14:paraId="1F655EB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0EEE9428"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71B66C90" w14:textId="42EE40F6" w:rsidR="0002074B" w:rsidRPr="00DB4C82" w:rsidRDefault="00F12A2C"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7E6FCCB1" w14:textId="5A2D92BC"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Касові символи про видачу готівки визначаються згідно із зазначеним у кожному видатковому касовому документі</w:t>
      </w:r>
      <w:r w:rsidR="0062745C" w:rsidRPr="00DB4C82">
        <w:rPr>
          <w:rFonts w:ascii="Times New Roman" w:eastAsia="Times New Roman" w:hAnsi="Times New Roman" w:cs="Times New Roman"/>
          <w:sz w:val="28"/>
          <w:szCs w:val="28"/>
          <w:lang w:eastAsia="uk-UA"/>
        </w:rPr>
        <w:t xml:space="preserve"> цільовим призначенням готівки.</w:t>
      </w:r>
    </w:p>
    <w:p w14:paraId="220C9039"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7AB176D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0528967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0121C31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14:paraId="07459A4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143D531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дані про інші чинники, що впливають на невідповідність між даними показників файла 12Х у розрізі регіонів.</w:t>
      </w:r>
    </w:p>
    <w:p w14:paraId="0FAA6E6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0DDE53B6" w14:textId="1859D546"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253E288A" w14:textId="66733CC5" w:rsidR="0002074B" w:rsidRPr="00DB4C82"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8</w:t>
      </w:r>
      <w:r w:rsidR="0002074B" w:rsidRPr="00DB4C82">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37D577F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3688F6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компанією/компанією з оброблення готівки в розрізі регіонів з урахуванням такого:</w:t>
      </w:r>
    </w:p>
    <w:p w14:paraId="2D525D9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декадні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підрозділів/компанії з оброблення готівки з її каси, кас її підрозділів до оборотної каси Національного банку, операційних кас банків та їх відокремлених підрозділів (відділення/платіжні пристрої);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 </w:t>
      </w:r>
    </w:p>
    <w:p w14:paraId="4BDDA81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за символом 66 звіряються з даними за символом 39;</w:t>
      </w:r>
    </w:p>
    <w:p w14:paraId="1186A80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5E9631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компанією/компанією з оброблення готівки помилок, виявлених протягом звітного періоду.</w:t>
      </w:r>
    </w:p>
    <w:p w14:paraId="4EF22755" w14:textId="158C6DC9"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строку подання, до 17.00.</w:t>
      </w:r>
      <w:r w:rsidRPr="00DB4C82">
        <w:rPr>
          <w:rFonts w:ascii="Times New Roman" w:hAnsi="Times New Roman" w:cs="Times New Roman"/>
        </w:rPr>
        <w:t xml:space="preserve"> </w:t>
      </w:r>
      <w:r w:rsidRPr="00DB4C82">
        <w:rPr>
          <w:rFonts w:ascii="Times New Roman" w:hAnsi="Times New Roman" w:cs="Times New Roman"/>
          <w:sz w:val="28"/>
          <w:szCs w:val="28"/>
        </w:rPr>
        <w:t>Заміна даних показника</w:t>
      </w:r>
      <w:r w:rsidRPr="00DB4C82">
        <w:rPr>
          <w:rFonts w:ascii="Times New Roman" w:hAnsi="Times New Roman" w:cs="Times New Roman"/>
        </w:rPr>
        <w:t xml:space="preserve"> </w:t>
      </w:r>
      <w:r w:rsidRPr="00DB4C82">
        <w:rPr>
          <w:rFonts w:ascii="Times New Roman" w:hAnsi="Times New Roman" w:cs="Times New Roman"/>
          <w:sz w:val="28"/>
          <w:szCs w:val="28"/>
        </w:rPr>
        <w:lastRenderedPageBreak/>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3ADBC59D" w14:textId="6D03DC0D" w:rsidR="0002074B" w:rsidRPr="00DB4C82"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w:t>
      </w:r>
      <w:r w:rsidR="0002074B" w:rsidRPr="00DB4C82">
        <w:rPr>
          <w:rFonts w:ascii="Times New Roman" w:eastAsia="Times New Roman" w:hAnsi="Times New Roman" w:cs="Times New Roman"/>
          <w:sz w:val="28"/>
          <w:szCs w:val="28"/>
          <w:lang w:eastAsia="uk-UA"/>
        </w:rPr>
        <w:t>. Інші зміни (виправлення) до даних показника не вносяться.</w:t>
      </w:r>
    </w:p>
    <w:p w14:paraId="4ABC064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13. У випадку виявлення у показнику з параметром D010 (=66, 72) помилки, допущеної інкасаторською компанією/компанією з оброблення готівки,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 </w:t>
      </w:r>
    </w:p>
    <w:p w14:paraId="50FA00A8" w14:textId="2A493732"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1F80EBD"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36B388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компанії/каси компанії з оброблення готівки на початок звітного періоду”</w:t>
      </w:r>
    </w:p>
    <w:p w14:paraId="1364365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3D7D7B3F" w14:textId="068549ED"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11EDF981"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718986A1"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172BACD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0191A5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в розрізі регіонів з урахуванням такого:</w:t>
      </w:r>
    </w:p>
    <w:p w14:paraId="4B8D6AF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залишок готівки в касі інкасаторської компанії/компанії з оброблення готівки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33D6C943" w14:textId="0B4EA0FB"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51F3EB6D"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092E821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компанії/каси компанії з оброблення готівки на кінець звітного періоду”</w:t>
      </w:r>
    </w:p>
    <w:p w14:paraId="5841DE9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39F81F95" w14:textId="7205E53B"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w:t>
      </w:r>
      <w:r w:rsidRPr="00DB4C82">
        <w:rPr>
          <w:rFonts w:ascii="Times New Roman" w:eastAsia="Times New Roman" w:hAnsi="Times New Roman" w:cs="Times New Roman"/>
          <w:sz w:val="28"/>
          <w:szCs w:val="28"/>
          <w:lang w:eastAsia="uk-UA"/>
        </w:rPr>
        <w:lastRenderedPageBreak/>
        <w:t>в межах отриманої ліцензії Національного банку України на здійснення операцій з готівкою, на кінець звітного періоду.</w:t>
      </w:r>
    </w:p>
    <w:p w14:paraId="7EE06C5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02A873CA"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20300EE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6EB80DD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у розрізі регіонів з урахуванням такого:</w:t>
      </w:r>
    </w:p>
    <w:p w14:paraId="43103F4B" w14:textId="25F859E9"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6158EEB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BCA0353" w14:textId="77777777" w:rsidR="003B44E6" w:rsidRPr="00DB4C82" w:rsidRDefault="003B44E6">
      <w:pPr>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br w:type="page"/>
      </w:r>
    </w:p>
    <w:p w14:paraId="5B2604A0" w14:textId="77777777" w:rsidR="00F12A2C" w:rsidRPr="00DB4C82" w:rsidRDefault="00F12A2C" w:rsidP="00F12A2C">
      <w:pPr>
        <w:spacing w:after="0" w:line="240" w:lineRule="auto"/>
        <w:jc w:val="center"/>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lastRenderedPageBreak/>
        <w:t>Особливості формування показників</w:t>
      </w:r>
      <w:r w:rsidRPr="00DB4C82">
        <w:rPr>
          <w:rFonts w:ascii="Times New Roman" w:eastAsia="Times New Roman" w:hAnsi="Times New Roman" w:cs="Times New Roman"/>
          <w:b/>
          <w:sz w:val="28"/>
          <w:szCs w:val="28"/>
          <w:u w:val="single"/>
          <w:lang w:val="ru-RU" w:eastAsia="uk-UA"/>
        </w:rPr>
        <w:t xml:space="preserve"> </w:t>
      </w:r>
      <w:r w:rsidRPr="00DB4C82">
        <w:rPr>
          <w:rFonts w:ascii="Times New Roman" w:eastAsia="Times New Roman" w:hAnsi="Times New Roman" w:cs="Times New Roman"/>
          <w:b/>
          <w:sz w:val="28"/>
          <w:szCs w:val="28"/>
          <w:u w:val="single"/>
          <w:lang w:eastAsia="uk-UA"/>
        </w:rPr>
        <w:t>файла 12</w:t>
      </w:r>
      <w:r w:rsidRPr="00DB4C82">
        <w:rPr>
          <w:rFonts w:ascii="Times New Roman" w:eastAsia="Times New Roman" w:hAnsi="Times New Roman" w:cs="Times New Roman"/>
          <w:b/>
          <w:sz w:val="28"/>
          <w:szCs w:val="28"/>
          <w:u w:val="single"/>
          <w:lang w:val="en-US" w:eastAsia="uk-UA"/>
        </w:rPr>
        <w:t>X</w:t>
      </w:r>
      <w:r w:rsidRPr="00DB4C82">
        <w:rPr>
          <w:rFonts w:ascii="Times New Roman" w:eastAsia="Times New Roman" w:hAnsi="Times New Roman" w:cs="Times New Roman"/>
          <w:b/>
          <w:sz w:val="28"/>
          <w:szCs w:val="28"/>
          <w:u w:val="single"/>
          <w:lang w:eastAsia="uk-UA"/>
        </w:rPr>
        <w:t xml:space="preserve"> “Дані про касові обороти банку/інкасаторської компанії/компанії з оброблення готівки”</w:t>
      </w:r>
    </w:p>
    <w:p w14:paraId="0BFF686D" w14:textId="77777777" w:rsidR="00F12A2C" w:rsidRPr="00DB4C82" w:rsidRDefault="00F12A2C" w:rsidP="00F12A2C">
      <w:pPr>
        <w:spacing w:after="0" w:line="240" w:lineRule="auto"/>
        <w:jc w:val="center"/>
        <w:rPr>
          <w:rFonts w:ascii="Times New Roman" w:eastAsia="Times New Roman" w:hAnsi="Times New Roman" w:cs="Times New Roman"/>
          <w:b/>
          <w:sz w:val="28"/>
          <w:szCs w:val="28"/>
          <w:u w:val="single"/>
          <w:lang w:val="ru-RU" w:eastAsia="uk-UA"/>
        </w:rPr>
      </w:pPr>
    </w:p>
    <w:p w14:paraId="6055C396"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банками</w:t>
      </w:r>
    </w:p>
    <w:p w14:paraId="553D2EDA"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p>
    <w:p w14:paraId="396138CA" w14:textId="273B4779" w:rsidR="003B44E6"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011881F5" w14:textId="77777777" w:rsidR="006C1304" w:rsidRPr="00DB4C82" w:rsidRDefault="006C1304" w:rsidP="00F12A2C">
      <w:pPr>
        <w:spacing w:after="0" w:line="240" w:lineRule="auto"/>
        <w:ind w:firstLine="709"/>
        <w:rPr>
          <w:rFonts w:ascii="Times New Roman" w:eastAsia="Times New Roman" w:hAnsi="Times New Roman" w:cs="Times New Roman"/>
          <w:sz w:val="28"/>
          <w:szCs w:val="28"/>
          <w:lang w:eastAsia="uk-UA"/>
        </w:rPr>
      </w:pPr>
    </w:p>
    <w:p w14:paraId="61CC7B31"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C9EF085"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787E29D4" w14:textId="77777777" w:rsidR="003B44E6" w:rsidRPr="00DB4C82"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E108A0" w:rsidRPr="00DB4C82">
        <w:rPr>
          <w:rFonts w:ascii="Times New Roman" w:eastAsia="Times New Roman" w:hAnsi="Times New Roman" w:cs="Times New Roman"/>
          <w:sz w:val="28"/>
          <w:szCs w:val="28"/>
          <w:lang w:eastAsia="uk-UA"/>
        </w:rPr>
        <w:t xml:space="preserve">від </w:t>
      </w:r>
      <w:r w:rsidRPr="00DB4C82">
        <w:rPr>
          <w:rFonts w:ascii="Times New Roman" w:eastAsia="Times New Roman" w:hAnsi="Times New Roman" w:cs="Times New Roman"/>
          <w:sz w:val="28"/>
          <w:szCs w:val="28"/>
          <w:lang w:eastAsia="uk-UA"/>
        </w:rPr>
        <w:t xml:space="preserve">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w:t>
      </w:r>
      <w:r w:rsidRPr="00DB4C82">
        <w:rPr>
          <w:rFonts w:ascii="Times New Roman" w:eastAsia="Times New Roman" w:hAnsi="Times New Roman" w:cs="Times New Roman"/>
          <w:sz w:val="28"/>
          <w:szCs w:val="28"/>
          <w:lang w:eastAsia="uk-UA"/>
        </w:rPr>
        <w:lastRenderedPageBreak/>
        <w:t>сплачених податків, зборів (обов’язкових платежів) та інших платежів до бюджетів усіх рівнів.</w:t>
      </w:r>
    </w:p>
    <w:p w14:paraId="1B17B29D"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772BE99A" w14:textId="77777777" w:rsidR="003B44E6" w:rsidRPr="00DB4C82"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6AADBE77"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14:paraId="2670CF72" w14:textId="31BD42B6"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7. </w:t>
      </w:r>
      <w:r w:rsidR="003D411B" w:rsidRPr="00DB4C82">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3D411B" w:rsidRPr="00DB4C82">
        <w:rPr>
          <w:rFonts w:ascii="Times New Roman" w:hAnsi="Times New Roman" w:cs="Times New Roman"/>
          <w:b/>
          <w:bCs/>
        </w:rPr>
        <w:t xml:space="preserve"> </w:t>
      </w:r>
      <w:r w:rsidR="003D411B" w:rsidRPr="00DB4C82">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w:t>
      </w:r>
      <w:r w:rsidR="003D411B" w:rsidRPr="00DB4C82">
        <w:rPr>
          <w:rFonts w:ascii="Times New Roman" w:hAnsi="Times New Roman" w:cs="Times New Roman"/>
        </w:rPr>
        <w:t xml:space="preserve"> </w:t>
      </w:r>
      <w:r w:rsidR="003D411B" w:rsidRPr="00DB4C82">
        <w:rPr>
          <w:rFonts w:ascii="Times New Roman" w:eastAsia="Times New Roman" w:hAnsi="Times New Roman" w:cs="Times New Roman"/>
          <w:sz w:val="28"/>
          <w:szCs w:val="28"/>
          <w:lang w:eastAsia="uk-UA"/>
        </w:rPr>
        <w:t>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50D317B0"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4D409B85"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429B1C53" w14:textId="77777777" w:rsidR="003B44E6" w:rsidRPr="00DB4C82"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10. </w:t>
      </w:r>
      <w:r w:rsidR="003B44E6" w:rsidRPr="00DB4C82">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539A8247" w14:textId="77777777" w:rsidR="003B44E6" w:rsidRPr="00DB4C82"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w:t>
      </w:r>
      <w:r w:rsidR="003B44E6" w:rsidRPr="00DB4C82">
        <w:rPr>
          <w:rFonts w:ascii="Times New Roman" w:eastAsia="Times New Roman" w:hAnsi="Times New Roman" w:cs="Times New Roman"/>
          <w:sz w:val="28"/>
          <w:szCs w:val="28"/>
          <w:lang w:eastAsia="uk-UA"/>
        </w:rPr>
        <w:t xml:space="preserve"> За параметром D010 (=33) (символ) зазначаються - надходження готівки до операційної каси уповноваженого банку із сховищ уповноваженого </w:t>
      </w:r>
      <w:r w:rsidR="003B44E6" w:rsidRPr="00DB4C82">
        <w:rPr>
          <w:rFonts w:ascii="Times New Roman" w:eastAsia="Times New Roman" w:hAnsi="Times New Roman" w:cs="Times New Roman"/>
          <w:sz w:val="28"/>
          <w:szCs w:val="28"/>
          <w:lang w:eastAsia="uk-UA"/>
        </w:rPr>
        <w:lastRenderedPageBreak/>
        <w:t>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46FA691C" w14:textId="77777777" w:rsidR="00F12A2C" w:rsidRPr="00DB4C82" w:rsidRDefault="00F12A2C"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компанії/компанії з оброблення готівки); надходження готівки з кас інкасаторської компанії (її підрозділів)/компанії з оброблення готівки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суми готівки, що належить іншим банкам і зберігається у сховищі інкасаторської компанії (її підрозділів)/компанії з оброблення готівки (її підрозділів), яка передана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(купівля готівки).</w:t>
      </w:r>
    </w:p>
    <w:p w14:paraId="26D58D60" w14:textId="0F9F2819" w:rsidR="003B44E6" w:rsidRPr="00DB4C82" w:rsidRDefault="00F12A2C"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банку, що зберігається в сховищі інкасаторської компанії/компанії з оброблення готівки, в операційну касу банку (філій), каси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699D5AD0" w14:textId="77777777" w:rsidR="003B44E6" w:rsidRPr="00DB4C82" w:rsidRDefault="003B44E6" w:rsidP="00A210FF">
      <w:pPr>
        <w:spacing w:after="0" w:line="240" w:lineRule="auto"/>
        <w:ind w:firstLine="709"/>
        <w:jc w:val="both"/>
        <w:rPr>
          <w:rFonts w:ascii="Times New Roman" w:eastAsia="Times New Roman" w:hAnsi="Times New Roman" w:cs="Times New Roman"/>
          <w:sz w:val="28"/>
          <w:szCs w:val="28"/>
          <w:lang w:eastAsia="uk-UA"/>
        </w:rPr>
      </w:pPr>
    </w:p>
    <w:p w14:paraId="54B1CD94" w14:textId="1984F689" w:rsidR="003B44E6" w:rsidRPr="00DB4C82" w:rsidRDefault="00A210FF" w:rsidP="004036F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442895CF" w14:textId="77777777" w:rsidR="003B44E6" w:rsidRPr="00DB4C82"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64080761"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w:t>
      </w:r>
      <w:r w:rsidRPr="00DB4C82">
        <w:rPr>
          <w:rFonts w:ascii="Times New Roman" w:eastAsia="Times New Roman" w:hAnsi="Times New Roman" w:cs="Times New Roman"/>
          <w:sz w:val="28"/>
          <w:szCs w:val="28"/>
          <w:lang w:eastAsia="uk-UA"/>
        </w:rPr>
        <w:lastRenderedPageBreak/>
        <w:t>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231004A2"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14:paraId="388E8003"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Про Митний тариф України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4DD1BFAB"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14:paraId="02B2CF07"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20BCF319" w14:textId="77777777" w:rsidR="003B44E6" w:rsidRPr="00DB4C82"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0BC6B85D"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14:paraId="619B8DB1" w14:textId="35110A80"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xml:space="preserve">8. </w:t>
      </w:r>
      <w:r w:rsidR="00CF0613" w:rsidRPr="00DB4C82">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797AB33"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14:paraId="008F8C96"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1E110DCB" w14:textId="272B1DFF" w:rsidR="003B44E6" w:rsidRPr="00DB4C82"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11. </w:t>
      </w:r>
      <w:r w:rsidR="003B44E6" w:rsidRPr="00DB4C82">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0F4ADA2D" w14:textId="77777777" w:rsidR="00260CDC" w:rsidRPr="00DB4C82"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w:t>
      </w:r>
      <w:r w:rsidR="00260CDC" w:rsidRPr="00DB4C82">
        <w:rPr>
          <w:rFonts w:ascii="Times New Roman" w:eastAsia="Times New Roman" w:hAnsi="Times New Roman" w:cs="Times New Roman"/>
          <w:sz w:val="28"/>
          <w:szCs w:val="28"/>
          <w:lang w:eastAsia="uk-UA"/>
        </w:rPr>
        <w:t xml:space="preserve">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00260CDC" w:rsidRPr="00DB4C82">
        <w:rPr>
          <w:rFonts w:ascii="Times New Roman" w:eastAsia="Times New Roman" w:hAnsi="Times New Roman" w:cs="Times New Roman"/>
          <w:sz w:val="28"/>
          <w:szCs w:val="28"/>
          <w:lang w:val="en-US" w:eastAsia="uk-UA"/>
        </w:rPr>
        <w:t> </w:t>
      </w:r>
      <w:r w:rsidR="00260CDC" w:rsidRPr="00DB4C82">
        <w:rPr>
          <w:rFonts w:ascii="Times New Roman" w:eastAsia="Times New Roman" w:hAnsi="Times New Roman" w:cs="Times New Roman"/>
          <w:sz w:val="28"/>
          <w:szCs w:val="28"/>
          <w:lang w:eastAsia="uk-UA"/>
        </w:rPr>
        <w:t>161-XIV.</w:t>
      </w:r>
    </w:p>
    <w:p w14:paraId="45A09C85" w14:textId="77777777" w:rsidR="00DB391A" w:rsidRPr="00DB4C82" w:rsidRDefault="00CF0613" w:rsidP="00A82097">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w:t>
      </w:r>
      <w:r w:rsidR="00BF271C" w:rsidRPr="00DB4C82">
        <w:rPr>
          <w:rFonts w:ascii="Times New Roman" w:eastAsia="Times New Roman" w:hAnsi="Times New Roman" w:cs="Times New Roman"/>
          <w:sz w:val="28"/>
          <w:szCs w:val="28"/>
          <w:lang w:eastAsia="uk-UA"/>
        </w:rPr>
        <w:t xml:space="preserve"> </w:t>
      </w:r>
      <w:r w:rsidR="00DB391A" w:rsidRPr="00DB4C82">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Про металобрухт</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 xml:space="preserve"> від 05.05.1999р.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 xml:space="preserve">619-XIV та Закону України </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Про відходи</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 xml:space="preserve"> від 05.03.1998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187/98-ВР.</w:t>
      </w:r>
    </w:p>
    <w:p w14:paraId="3DA163EF" w14:textId="57C67EC5" w:rsidR="00DB391A" w:rsidRPr="00DB4C82" w:rsidRDefault="00CF0613" w:rsidP="00DB6BB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w:t>
      </w:r>
      <w:r w:rsidR="00DB391A" w:rsidRPr="00DB4C82">
        <w:rPr>
          <w:rFonts w:ascii="Times New Roman" w:eastAsia="Times New Roman" w:hAnsi="Times New Roman" w:cs="Times New Roman"/>
          <w:sz w:val="28"/>
          <w:szCs w:val="28"/>
          <w:lang w:eastAsia="uk-UA"/>
        </w:rPr>
        <w:t xml:space="preserve"> За параметром D010 (=64) (символ) зазначається - видача готівки підприємствам (підприємцям) з метою надання/повернення фінансової допомоги</w:t>
      </w:r>
      <w:r w:rsidR="00DB6BBF" w:rsidRPr="00DB4C82">
        <w:rPr>
          <w:rFonts w:ascii="Times New Roman" w:eastAsia="Times New Roman" w:hAnsi="Times New Roman" w:cs="Times New Roman"/>
          <w:sz w:val="28"/>
          <w:szCs w:val="28"/>
          <w:lang w:eastAsia="uk-UA"/>
        </w:rPr>
        <w:t>/</w:t>
      </w:r>
      <w:r w:rsidR="00640820" w:rsidRPr="00DB4C82">
        <w:rPr>
          <w:rFonts w:ascii="Times New Roman" w:eastAsia="Times New Roman" w:hAnsi="Times New Roman" w:cs="Times New Roman"/>
          <w:sz w:val="28"/>
          <w:szCs w:val="28"/>
          <w:lang w:eastAsia="uk-UA"/>
        </w:rPr>
        <w:t>позик за договорами, які не передбачають нарахування процентів або надання інших видів компенсацій у вигляді плати за користування такими коштами</w:t>
      </w:r>
      <w:r w:rsidR="00DB391A" w:rsidRPr="00DB4C82">
        <w:rPr>
          <w:rFonts w:ascii="Times New Roman" w:eastAsia="Times New Roman" w:hAnsi="Times New Roman" w:cs="Times New Roman"/>
          <w:sz w:val="28"/>
          <w:szCs w:val="28"/>
          <w:lang w:eastAsia="uk-UA"/>
        </w:rPr>
        <w:t xml:space="preserve"> </w:t>
      </w:r>
      <w:r w:rsidR="00DB6BBF" w:rsidRPr="00DB4C82">
        <w:rPr>
          <w:rFonts w:ascii="Times New Roman" w:eastAsia="Times New Roman" w:hAnsi="Times New Roman" w:cs="Times New Roman"/>
          <w:sz w:val="28"/>
          <w:szCs w:val="28"/>
          <w:lang w:eastAsia="uk-UA"/>
        </w:rPr>
        <w:t xml:space="preserve">та які за свою суттю не відносяться до фінансових послуг, і здійснюються відповідно до вимог частини 1 статті 1046 Цивільного кодексу України </w:t>
      </w:r>
      <w:r w:rsidR="00DB391A" w:rsidRPr="00DB4C82">
        <w:rPr>
          <w:rFonts w:ascii="Times New Roman" w:eastAsia="Times New Roman" w:hAnsi="Times New Roman" w:cs="Times New Roman"/>
          <w:sz w:val="28"/>
          <w:szCs w:val="28"/>
          <w:lang w:eastAsia="uk-UA"/>
        </w:rPr>
        <w:t xml:space="preserve">(у визначенні </w:t>
      </w:r>
      <w:r w:rsidR="002B6423" w:rsidRPr="00DB4C82">
        <w:rPr>
          <w:rFonts w:ascii="Times New Roman" w:eastAsia="Times New Roman" w:hAnsi="Times New Roman" w:cs="Times New Roman"/>
          <w:sz w:val="28"/>
          <w:szCs w:val="28"/>
          <w:lang w:eastAsia="uk-UA"/>
        </w:rPr>
        <w:t xml:space="preserve">статті 14.1.257 </w:t>
      </w:r>
      <w:r w:rsidR="00DB391A" w:rsidRPr="00DB4C82">
        <w:rPr>
          <w:rFonts w:ascii="Times New Roman" w:eastAsia="Times New Roman" w:hAnsi="Times New Roman" w:cs="Times New Roman"/>
          <w:sz w:val="28"/>
          <w:szCs w:val="28"/>
          <w:lang w:eastAsia="uk-UA"/>
        </w:rPr>
        <w:t>Податкового кодексу України від 02.12.2010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2755-VI</w:t>
      </w:r>
      <w:r w:rsidR="001A04A4"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w:t>
      </w:r>
    </w:p>
    <w:p w14:paraId="7383A03D" w14:textId="6DF6B1B4"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компанії/компанії </w:t>
      </w:r>
      <w:r w:rsidRPr="00DB4C82">
        <w:rPr>
          <w:rFonts w:ascii="Times New Roman" w:eastAsia="Times New Roman" w:hAnsi="Times New Roman" w:cs="Times New Roman"/>
          <w:sz w:val="28"/>
          <w:szCs w:val="28"/>
          <w:lang w:eastAsia="uk-UA"/>
        </w:rPr>
        <w:lastRenderedPageBreak/>
        <w:t>з оброблення готівки; передавання готівки банку, що зберігається в сховищі інкасаторської компанії/компанії з оброблення готівки, до операційної каси банку (філій), кас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1BA72AE4" w14:textId="243E4888" w:rsidR="003B44E6" w:rsidRPr="00DB4C82"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16</w:t>
      </w:r>
      <w:r w:rsidR="003B44E6" w:rsidRPr="00DB4C82">
        <w:rPr>
          <w:rFonts w:ascii="Times New Roman" w:eastAsia="Times New Roman" w:hAnsi="Times New Roman" w:cs="Times New Roman"/>
          <w:sz w:val="28"/>
          <w:szCs w:val="28"/>
          <w:lang w:eastAsia="uk-UA"/>
        </w:rPr>
        <w:t>.</w:t>
      </w:r>
      <w:r w:rsidR="000563CC" w:rsidRPr="00DB4C82">
        <w:rPr>
          <w:rFonts w:ascii="Times New Roman" w:eastAsia="Times New Roman" w:hAnsi="Times New Roman" w:cs="Times New Roman"/>
          <w:sz w:val="28"/>
          <w:szCs w:val="28"/>
          <w:lang w:val="ru-RU" w:eastAsia="uk-UA"/>
        </w:rPr>
        <w:t xml:space="preserve"> </w:t>
      </w:r>
      <w:r w:rsidR="003B44E6" w:rsidRPr="00DB4C82">
        <w:rPr>
          <w:rFonts w:ascii="Times New Roman" w:eastAsia="Times New Roman" w:hAnsi="Times New Roman" w:cs="Times New Roman"/>
          <w:sz w:val="28"/>
          <w:szCs w:val="28"/>
          <w:lang w:eastAsia="uk-UA"/>
        </w:rPr>
        <w:t>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77252180" w14:textId="73A19993"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компанії/компанії з оброблення готівки), передавання суми готівки, що належить банку і зберігається у сховищі інкасаторської компанії/компанії з оброблення готівки, до каси інкасаторської компанії (її підрозділів)/компанії з оброблення готівки (її підрозділів); суми готівки, що належить банку і зберігається в сховищі інкасаторської компанії (її підрозділів)/компанії з оброблення готівки (її підрозділів), яка передана іншим банкам, з подальшим зберіганням цієї готівки, що належить іншому банку, в сховищі інкасаторської компанії/компанії з оброблення готівки (продаж готівки).</w:t>
      </w:r>
    </w:p>
    <w:p w14:paraId="66831FF0" w14:textId="77777777" w:rsidR="000D7FF2" w:rsidRPr="00DB4C82" w:rsidRDefault="000D7FF2" w:rsidP="004036FD">
      <w:pPr>
        <w:spacing w:after="0" w:line="240" w:lineRule="auto"/>
        <w:ind w:firstLine="709"/>
        <w:jc w:val="both"/>
        <w:rPr>
          <w:rFonts w:ascii="Times New Roman" w:eastAsia="Times New Roman" w:hAnsi="Times New Roman" w:cs="Times New Roman"/>
          <w:sz w:val="28"/>
          <w:szCs w:val="28"/>
          <w:lang w:eastAsia="uk-UA"/>
        </w:rPr>
      </w:pPr>
    </w:p>
    <w:p w14:paraId="4F6D1E84" w14:textId="08448F4E"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компанії/каси компанії з оброблення готівки на початок звітного періоду”</w:t>
      </w:r>
    </w:p>
    <w:p w14:paraId="2838901C"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1CFD5A11" w14:textId="78AC22BC"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DB4C82">
        <w:rPr>
          <w:rFonts w:ascii="Times New Roman" w:eastAsia="Times New Roman" w:hAnsi="Times New Roman" w:cs="Times New Roman"/>
          <w:sz w:val="28"/>
          <w:szCs w:val="28"/>
          <w:lang w:eastAsia="uk-UA"/>
        </w:rPr>
        <w:t>, 1006</w:t>
      </w:r>
      <w:r w:rsidRPr="00DB4C82">
        <w:rPr>
          <w:rFonts w:ascii="Times New Roman" w:eastAsia="Times New Roman" w:hAnsi="Times New Roman" w:cs="Times New Roman"/>
          <w:sz w:val="28"/>
          <w:szCs w:val="28"/>
          <w:lang w:eastAsia="uk-UA"/>
        </w:rPr>
        <w:t xml:space="preserve"> на початок звітного періоду.</w:t>
      </w:r>
    </w:p>
    <w:p w14:paraId="3E74F420"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27C64113" w14:textId="0035F97E"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w:t>
      </w:r>
      <w:r w:rsidRPr="00DB4C82">
        <w:rPr>
          <w:rFonts w:ascii="Times New Roman" w:eastAsia="Times New Roman" w:hAnsi="Times New Roman" w:cs="Times New Roman"/>
          <w:b/>
          <w:sz w:val="28"/>
          <w:szCs w:val="28"/>
          <w:u w:val="single"/>
          <w:lang w:val="en-US" w:eastAsia="uk-UA"/>
        </w:rPr>
        <w:t>V</w:t>
      </w:r>
      <w:r w:rsidRPr="00DB4C82">
        <w:rPr>
          <w:rFonts w:ascii="Times New Roman" w:eastAsia="Times New Roman" w:hAnsi="Times New Roman" w:cs="Times New Roman"/>
          <w:b/>
          <w:sz w:val="28"/>
          <w:szCs w:val="28"/>
          <w:u w:val="single"/>
          <w:lang w:eastAsia="uk-UA"/>
        </w:rPr>
        <w:t xml:space="preserve">.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компанії/каси компанії з оброблення готівки на кінець звітного періоду”</w:t>
      </w:r>
    </w:p>
    <w:p w14:paraId="7BBB3A62"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58BBC28D" w14:textId="6C549D4F" w:rsidR="00487BB7"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DB4C82">
        <w:rPr>
          <w:rFonts w:ascii="Times New Roman" w:eastAsia="Times New Roman" w:hAnsi="Times New Roman" w:cs="Times New Roman"/>
          <w:sz w:val="28"/>
          <w:szCs w:val="28"/>
          <w:lang w:eastAsia="uk-UA"/>
        </w:rPr>
        <w:t>, 1006</w:t>
      </w:r>
      <w:r w:rsidRPr="00DB4C82">
        <w:rPr>
          <w:rFonts w:ascii="Times New Roman" w:eastAsia="Times New Roman" w:hAnsi="Times New Roman" w:cs="Times New Roman"/>
          <w:sz w:val="28"/>
          <w:szCs w:val="28"/>
          <w:lang w:eastAsia="uk-UA"/>
        </w:rPr>
        <w:t xml:space="preserve"> на кінець звітного періоду.</w:t>
      </w:r>
    </w:p>
    <w:p w14:paraId="36238C4A" w14:textId="77777777" w:rsidR="00F265A4" w:rsidRPr="00DB4C82" w:rsidRDefault="00F265A4" w:rsidP="003B44E6">
      <w:pPr>
        <w:spacing w:after="0" w:line="240" w:lineRule="auto"/>
        <w:ind w:firstLine="709"/>
        <w:jc w:val="both"/>
        <w:rPr>
          <w:rFonts w:ascii="Times New Roman" w:eastAsia="Times New Roman" w:hAnsi="Times New Roman" w:cs="Times New Roman"/>
          <w:sz w:val="28"/>
          <w:szCs w:val="28"/>
          <w:lang w:eastAsia="uk-UA"/>
        </w:rPr>
      </w:pPr>
    </w:p>
    <w:p w14:paraId="0CC9D066" w14:textId="2A73EC86" w:rsidR="00F265A4" w:rsidRPr="00DB4C82" w:rsidRDefault="00A210FF" w:rsidP="00F265A4">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354C808B" w14:textId="77777777" w:rsidR="00F265A4" w:rsidRPr="00DB4C82" w:rsidRDefault="00F265A4" w:rsidP="00F265A4">
      <w:pPr>
        <w:spacing w:after="0" w:line="240" w:lineRule="auto"/>
        <w:ind w:firstLine="709"/>
        <w:rPr>
          <w:rFonts w:ascii="Times New Roman" w:eastAsia="Times New Roman" w:hAnsi="Times New Roman" w:cs="Times New Roman"/>
          <w:b/>
          <w:sz w:val="28"/>
          <w:szCs w:val="28"/>
          <w:u w:val="single"/>
          <w:lang w:eastAsia="uk-UA"/>
        </w:rPr>
      </w:pPr>
    </w:p>
    <w:p w14:paraId="10A08A18" w14:textId="77777777" w:rsidR="00A210FF" w:rsidRPr="00DB4C82" w:rsidRDefault="00A210FF" w:rsidP="00A210FF">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79DE83B2"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686F40B8"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0F12B2D5"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5B633CA4"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підрозділів/компанії з оброблення готівки, її підрозділів, а саме, що утворилися від сплати усіх</w:t>
      </w:r>
      <w:r w:rsidRPr="00DB4C82">
        <w:rPr>
          <w:rFonts w:ascii="Times New Roman" w:eastAsia="Times New Roman" w:hAnsi="Times New Roman" w:cs="Times New Roman"/>
          <w:b/>
          <w:sz w:val="28"/>
          <w:szCs w:val="28"/>
          <w:lang w:eastAsia="uk-UA"/>
        </w:rPr>
        <w:t xml:space="preserve"> </w:t>
      </w:r>
      <w:r w:rsidRPr="00DB4C82">
        <w:rPr>
          <w:rFonts w:ascii="Times New Roman" w:eastAsia="Times New Roman" w:hAnsi="Times New Roman" w:cs="Times New Roman"/>
          <w:sz w:val="28"/>
          <w:szCs w:val="28"/>
          <w:lang w:eastAsia="uk-UA"/>
        </w:rPr>
        <w:t>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091A405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підрозділів/компанії з оброблення готівки, її підрозділів, а саме: погашення кредитів та проценти за користування кредитом, вартість усіх супутніх послуг, а також інші фінансові зобов’язання за ними.</w:t>
      </w:r>
    </w:p>
    <w:p w14:paraId="4F2203A5" w14:textId="77777777" w:rsidR="00A210FF" w:rsidRPr="00DB4C82" w:rsidRDefault="00A210FF" w:rsidP="00A210FF">
      <w:pPr>
        <w:spacing w:after="0" w:line="240" w:lineRule="auto"/>
        <w:ind w:firstLine="708"/>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(=32) (символ) зазначаються –</w:t>
      </w:r>
      <w:r w:rsidRPr="00DB4C82">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DB4C82">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підрозділів/компанії з оброблення готівки, її підрозділів.</w:t>
      </w:r>
    </w:p>
    <w:p w14:paraId="66F2AED3" w14:textId="77777777" w:rsidR="00A210FF" w:rsidRPr="00DB4C82" w:rsidRDefault="00A210FF" w:rsidP="00A210FF">
      <w:pPr>
        <w:spacing w:after="0" w:line="240" w:lineRule="auto"/>
        <w:ind w:firstLine="708"/>
        <w:jc w:val="both"/>
        <w:rPr>
          <w:rFonts w:ascii="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(=37) (символ) зазначаються -</w:t>
      </w:r>
      <w:r w:rsidRPr="00DB4C82">
        <w:rPr>
          <w:rFonts w:ascii="Times New Roman" w:hAnsi="Times New Roman" w:cs="Times New Roman"/>
          <w:sz w:val="28"/>
          <w:szCs w:val="28"/>
          <w:lang w:eastAsia="uk-UA"/>
        </w:rPr>
        <w:t xml:space="preserve"> </w:t>
      </w:r>
      <w:r w:rsidRPr="00DB4C82">
        <w:rPr>
          <w:rFonts w:ascii="Times New Roman" w:eastAsia="Times New Roman" w:hAnsi="Times New Roman" w:cs="Times New Roman"/>
          <w:sz w:val="28"/>
          <w:szCs w:val="28"/>
          <w:lang w:eastAsia="uk-UA"/>
        </w:rPr>
        <w:t xml:space="preserve">надходження готівки, що оприбуткована до каси інкасаторської компанії, її підрозділів/компанії з </w:t>
      </w:r>
      <w:r w:rsidRPr="00DB4C82">
        <w:rPr>
          <w:rFonts w:ascii="Times New Roman" w:eastAsia="Times New Roman" w:hAnsi="Times New Roman" w:cs="Times New Roman"/>
          <w:sz w:val="28"/>
          <w:szCs w:val="28"/>
          <w:lang w:eastAsia="uk-UA"/>
        </w:rPr>
        <w:lastRenderedPageBreak/>
        <w:t>оброблення готівки, її підрозділів,</w:t>
      </w:r>
      <w:r w:rsidRPr="00DB4C82">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DB4C82">
        <w:rPr>
          <w:rFonts w:ascii="Times New Roman" w:eastAsia="Times New Roman" w:hAnsi="Times New Roman" w:cs="Times New Roman"/>
          <w:sz w:val="28"/>
          <w:szCs w:val="28"/>
          <w:lang w:eastAsia="uk-UA"/>
        </w:rPr>
        <w:t>(їх підрозділів) та з платіжних пристроїв</w:t>
      </w:r>
      <w:r w:rsidRPr="00DB4C82">
        <w:rPr>
          <w:rFonts w:ascii="Times New Roman" w:hAnsi="Times New Roman" w:cs="Times New Roman"/>
          <w:sz w:val="28"/>
          <w:szCs w:val="28"/>
          <w:lang w:eastAsia="uk-UA"/>
        </w:rPr>
        <w:t>; надходження до каси інкасаторської компанії та до кас її підрозділів/компанії з оброблення готівки та до кас її підрозділів готівки банку, що знаходилась на зберіганні у сховищі інкасаторської компанії/компанії з оброблення готівки (купівля готівки).</w:t>
      </w:r>
    </w:p>
    <w:p w14:paraId="22FA464E" w14:textId="0729C559" w:rsidR="0002074B" w:rsidRPr="00DB4C82" w:rsidRDefault="00A210FF" w:rsidP="00A210FF">
      <w:pPr>
        <w:spacing w:after="0" w:line="240" w:lineRule="auto"/>
        <w:ind w:firstLine="708"/>
        <w:jc w:val="both"/>
        <w:rPr>
          <w:rFonts w:ascii="Times New Roman" w:hAnsi="Times New Roman" w:cs="Times New Roman"/>
          <w:sz w:val="28"/>
          <w:szCs w:val="28"/>
          <w:lang w:eastAsia="uk-UA"/>
        </w:rPr>
      </w:pPr>
      <w:r w:rsidRPr="00DB4C82">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компанії)/компанії з оброблення готівки (її підрозділів) з кас її підрозділів (компанії з оброблення готівки).</w:t>
      </w:r>
    </w:p>
    <w:p w14:paraId="7667E717"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38C5248" w14:textId="4CACA022" w:rsidR="0002074B" w:rsidRPr="00DB4C82" w:rsidRDefault="00A210FF" w:rsidP="0002074B">
      <w:pPr>
        <w:spacing w:after="0" w:line="240" w:lineRule="auto"/>
        <w:ind w:firstLine="709"/>
        <w:jc w:val="both"/>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2F5043D7" w14:textId="77777777" w:rsidR="00C30290" w:rsidRPr="00DB4C82" w:rsidRDefault="00C30290" w:rsidP="0002074B">
      <w:pPr>
        <w:spacing w:after="0" w:line="240" w:lineRule="auto"/>
        <w:ind w:firstLine="709"/>
        <w:jc w:val="both"/>
        <w:rPr>
          <w:rFonts w:ascii="Times New Roman" w:eastAsia="Times New Roman" w:hAnsi="Times New Roman" w:cs="Times New Roman"/>
          <w:sz w:val="28"/>
          <w:szCs w:val="28"/>
          <w:lang w:eastAsia="uk-UA"/>
        </w:rPr>
      </w:pPr>
    </w:p>
    <w:p w14:paraId="57B74C89" w14:textId="21FB6A83" w:rsidR="0055666C" w:rsidRPr="00DB4C82" w:rsidRDefault="0055666C"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в касі клієнта під час доставлення готівки, інкасації, або як проведення окремої операції на підставі та в межах укладених договорів.</w:t>
      </w:r>
    </w:p>
    <w:p w14:paraId="1074096C"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компанії)/компанії з оброблення готівки (її підрозділів) до кас її підрозділів (компанії з оброблення готівки).</w:t>
      </w:r>
    </w:p>
    <w:p w14:paraId="193D8DFE" w14:textId="4E9A2B02" w:rsidR="0002074B"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підрозділів/компанії з оброблення готівки, її підрозділів 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компанії/компанії з оброблення готівки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(продаж готівки).</w:t>
      </w:r>
    </w:p>
    <w:p w14:paraId="697D0A16" w14:textId="77777777" w:rsidR="0002074B" w:rsidRPr="00DB4C82" w:rsidRDefault="0002074B" w:rsidP="00A210FF">
      <w:pPr>
        <w:spacing w:after="0" w:line="240" w:lineRule="auto"/>
        <w:ind w:firstLine="709"/>
        <w:jc w:val="both"/>
        <w:rPr>
          <w:rFonts w:ascii="Times New Roman" w:eastAsia="Times New Roman" w:hAnsi="Times New Roman" w:cs="Times New Roman"/>
          <w:sz w:val="28"/>
          <w:szCs w:val="28"/>
          <w:lang w:eastAsia="uk-UA"/>
        </w:rPr>
      </w:pPr>
    </w:p>
    <w:p w14:paraId="4FFEA3C3"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компанії/каси компанії з оброблення готівки на початок звітного періоду”</w:t>
      </w:r>
    </w:p>
    <w:p w14:paraId="76DD5F7B"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25A4E44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2C3BA6E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077DB206"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компанії/каси компанії з оброблення готівки на кінець звітного періоду”</w:t>
      </w:r>
    </w:p>
    <w:p w14:paraId="7C23511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6E038D0A" w14:textId="71E9DE8D" w:rsidR="0002074B"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За параметром D010 (=70)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19469B77" w14:textId="77777777" w:rsidR="00F265A4" w:rsidRPr="00DB4C82" w:rsidRDefault="00F265A4" w:rsidP="003B44E6">
      <w:pPr>
        <w:spacing w:after="0" w:line="240" w:lineRule="auto"/>
        <w:ind w:firstLine="709"/>
        <w:jc w:val="both"/>
        <w:rPr>
          <w:rFonts w:ascii="Times New Roman" w:eastAsia="Times New Roman" w:hAnsi="Times New Roman" w:cs="Times New Roman"/>
          <w:sz w:val="28"/>
          <w:szCs w:val="28"/>
          <w:lang w:eastAsia="uk-UA"/>
        </w:rPr>
      </w:pPr>
    </w:p>
    <w:sectPr w:rsidR="00F265A4" w:rsidRPr="00DB4C82" w:rsidSect="00394EE8">
      <w:head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C0DB5" w14:textId="77777777" w:rsidR="0022796F" w:rsidRDefault="0022796F" w:rsidP="0086795E">
      <w:pPr>
        <w:spacing w:after="0" w:line="240" w:lineRule="auto"/>
      </w:pPr>
      <w:r>
        <w:separator/>
      </w:r>
    </w:p>
  </w:endnote>
  <w:endnote w:type="continuationSeparator" w:id="0">
    <w:p w14:paraId="717520BF" w14:textId="77777777" w:rsidR="0022796F" w:rsidRDefault="0022796F" w:rsidP="0086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49A15" w14:textId="77777777" w:rsidR="0022796F" w:rsidRDefault="0022796F" w:rsidP="0086795E">
      <w:pPr>
        <w:spacing w:after="0" w:line="240" w:lineRule="auto"/>
      </w:pPr>
      <w:r>
        <w:separator/>
      </w:r>
    </w:p>
  </w:footnote>
  <w:footnote w:type="continuationSeparator" w:id="0">
    <w:p w14:paraId="4E62C932" w14:textId="77777777" w:rsidR="0022796F" w:rsidRDefault="0022796F" w:rsidP="0086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5854"/>
      <w:docPartObj>
        <w:docPartGallery w:val="Page Numbers (Top of Page)"/>
        <w:docPartUnique/>
      </w:docPartObj>
    </w:sdtPr>
    <w:sdtEndPr>
      <w:rPr>
        <w:rFonts w:ascii="Times New Roman" w:hAnsi="Times New Roman" w:cs="Times New Roman"/>
        <w:sz w:val="24"/>
      </w:rPr>
    </w:sdtEndPr>
    <w:sdtContent>
      <w:p w14:paraId="6F059A7F" w14:textId="7B02D142" w:rsidR="00447D3C" w:rsidRPr="00340990" w:rsidRDefault="00447D3C">
        <w:pPr>
          <w:pStyle w:val="ae"/>
          <w:jc w:val="center"/>
          <w:rPr>
            <w:rFonts w:ascii="Times New Roman" w:hAnsi="Times New Roman" w:cs="Times New Roman"/>
            <w:sz w:val="24"/>
          </w:rPr>
        </w:pPr>
        <w:r w:rsidRPr="00340990">
          <w:rPr>
            <w:rFonts w:ascii="Times New Roman" w:hAnsi="Times New Roman" w:cs="Times New Roman"/>
            <w:sz w:val="24"/>
          </w:rPr>
          <w:fldChar w:fldCharType="begin"/>
        </w:r>
        <w:r w:rsidRPr="00340990">
          <w:rPr>
            <w:rFonts w:ascii="Times New Roman" w:hAnsi="Times New Roman" w:cs="Times New Roman"/>
            <w:sz w:val="24"/>
          </w:rPr>
          <w:instrText>PAGE   \* MERGEFORMAT</w:instrText>
        </w:r>
        <w:r w:rsidRPr="00340990">
          <w:rPr>
            <w:rFonts w:ascii="Times New Roman" w:hAnsi="Times New Roman" w:cs="Times New Roman"/>
            <w:sz w:val="24"/>
          </w:rPr>
          <w:fldChar w:fldCharType="separate"/>
        </w:r>
        <w:r w:rsidR="003374CC">
          <w:rPr>
            <w:rFonts w:ascii="Times New Roman" w:hAnsi="Times New Roman" w:cs="Times New Roman"/>
            <w:noProof/>
            <w:sz w:val="24"/>
          </w:rPr>
          <w:t>1</w:t>
        </w:r>
        <w:r w:rsidRPr="00340990">
          <w:rPr>
            <w:rFonts w:ascii="Times New Roman" w:hAnsi="Times New Roman" w:cs="Times New Roman"/>
            <w:sz w:val="24"/>
          </w:rPr>
          <w:fldChar w:fldCharType="end"/>
        </w:r>
      </w:p>
      <w:p w14:paraId="27866869" w14:textId="54522942" w:rsidR="00447D3C" w:rsidRPr="00340990" w:rsidRDefault="0022796F">
        <w:pPr>
          <w:pStyle w:val="ae"/>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74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3CC"/>
    <w:rsid w:val="000566FB"/>
    <w:rsid w:val="000610B6"/>
    <w:rsid w:val="00066FAA"/>
    <w:rsid w:val="000752B1"/>
    <w:rsid w:val="00080270"/>
    <w:rsid w:val="000836E2"/>
    <w:rsid w:val="000837C3"/>
    <w:rsid w:val="00084025"/>
    <w:rsid w:val="00084510"/>
    <w:rsid w:val="00090A4B"/>
    <w:rsid w:val="00095835"/>
    <w:rsid w:val="0009598E"/>
    <w:rsid w:val="0009798C"/>
    <w:rsid w:val="000A114A"/>
    <w:rsid w:val="000A305A"/>
    <w:rsid w:val="000A67D1"/>
    <w:rsid w:val="000C4C35"/>
    <w:rsid w:val="000C58A6"/>
    <w:rsid w:val="000D1A6E"/>
    <w:rsid w:val="000D1E94"/>
    <w:rsid w:val="000D7FF2"/>
    <w:rsid w:val="000E0EDA"/>
    <w:rsid w:val="000E4103"/>
    <w:rsid w:val="000F0EAA"/>
    <w:rsid w:val="000F6780"/>
    <w:rsid w:val="000F7563"/>
    <w:rsid w:val="00106CB6"/>
    <w:rsid w:val="00111B0A"/>
    <w:rsid w:val="00123298"/>
    <w:rsid w:val="00123EAD"/>
    <w:rsid w:val="001267B5"/>
    <w:rsid w:val="00132299"/>
    <w:rsid w:val="00136BC7"/>
    <w:rsid w:val="001465D9"/>
    <w:rsid w:val="00151B3E"/>
    <w:rsid w:val="00155AA4"/>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C6465"/>
    <w:rsid w:val="001D1935"/>
    <w:rsid w:val="001D28D6"/>
    <w:rsid w:val="001D595A"/>
    <w:rsid w:val="001E0CB7"/>
    <w:rsid w:val="001E2070"/>
    <w:rsid w:val="001F13B0"/>
    <w:rsid w:val="001F1B80"/>
    <w:rsid w:val="0020381D"/>
    <w:rsid w:val="00203DD1"/>
    <w:rsid w:val="00206157"/>
    <w:rsid w:val="00215519"/>
    <w:rsid w:val="0022796F"/>
    <w:rsid w:val="0022797B"/>
    <w:rsid w:val="00227B9D"/>
    <w:rsid w:val="002310A3"/>
    <w:rsid w:val="00231C54"/>
    <w:rsid w:val="00234366"/>
    <w:rsid w:val="00234644"/>
    <w:rsid w:val="002365E4"/>
    <w:rsid w:val="00237EFA"/>
    <w:rsid w:val="002419C5"/>
    <w:rsid w:val="00243F69"/>
    <w:rsid w:val="0024619A"/>
    <w:rsid w:val="002532BB"/>
    <w:rsid w:val="0025451C"/>
    <w:rsid w:val="00260CDC"/>
    <w:rsid w:val="00267A84"/>
    <w:rsid w:val="00270572"/>
    <w:rsid w:val="002705F9"/>
    <w:rsid w:val="0027433B"/>
    <w:rsid w:val="002744B6"/>
    <w:rsid w:val="0028027C"/>
    <w:rsid w:val="00290A63"/>
    <w:rsid w:val="00294836"/>
    <w:rsid w:val="00294EFC"/>
    <w:rsid w:val="0029534F"/>
    <w:rsid w:val="002A4439"/>
    <w:rsid w:val="002B44A1"/>
    <w:rsid w:val="002B6423"/>
    <w:rsid w:val="002C6F64"/>
    <w:rsid w:val="002D0980"/>
    <w:rsid w:val="002D7736"/>
    <w:rsid w:val="002E2506"/>
    <w:rsid w:val="002E2626"/>
    <w:rsid w:val="00303197"/>
    <w:rsid w:val="0031365C"/>
    <w:rsid w:val="00314177"/>
    <w:rsid w:val="00330D2C"/>
    <w:rsid w:val="003328CF"/>
    <w:rsid w:val="00333F5D"/>
    <w:rsid w:val="00334EBB"/>
    <w:rsid w:val="00335927"/>
    <w:rsid w:val="0033665F"/>
    <w:rsid w:val="003374CC"/>
    <w:rsid w:val="00337A43"/>
    <w:rsid w:val="00340990"/>
    <w:rsid w:val="003432AB"/>
    <w:rsid w:val="0034586C"/>
    <w:rsid w:val="003471ED"/>
    <w:rsid w:val="00347F3F"/>
    <w:rsid w:val="003522F0"/>
    <w:rsid w:val="0036055C"/>
    <w:rsid w:val="003723D3"/>
    <w:rsid w:val="00372CCF"/>
    <w:rsid w:val="003764DF"/>
    <w:rsid w:val="0037777B"/>
    <w:rsid w:val="00386AE1"/>
    <w:rsid w:val="003921A5"/>
    <w:rsid w:val="00394EE8"/>
    <w:rsid w:val="003A1259"/>
    <w:rsid w:val="003A4EBF"/>
    <w:rsid w:val="003A743E"/>
    <w:rsid w:val="003B35CE"/>
    <w:rsid w:val="003B44E6"/>
    <w:rsid w:val="003C129A"/>
    <w:rsid w:val="003C2B77"/>
    <w:rsid w:val="003C41A1"/>
    <w:rsid w:val="003D0D36"/>
    <w:rsid w:val="003D411B"/>
    <w:rsid w:val="003E0796"/>
    <w:rsid w:val="003E51A2"/>
    <w:rsid w:val="003F086A"/>
    <w:rsid w:val="00403386"/>
    <w:rsid w:val="004036FD"/>
    <w:rsid w:val="004117AE"/>
    <w:rsid w:val="00411CC2"/>
    <w:rsid w:val="0041287A"/>
    <w:rsid w:val="00422AD6"/>
    <w:rsid w:val="00431CAE"/>
    <w:rsid w:val="00444BC6"/>
    <w:rsid w:val="0044516C"/>
    <w:rsid w:val="00447D3C"/>
    <w:rsid w:val="004568B1"/>
    <w:rsid w:val="00465256"/>
    <w:rsid w:val="00472A01"/>
    <w:rsid w:val="00481479"/>
    <w:rsid w:val="00483E16"/>
    <w:rsid w:val="00484C32"/>
    <w:rsid w:val="00487836"/>
    <w:rsid w:val="00487860"/>
    <w:rsid w:val="00487BB7"/>
    <w:rsid w:val="00492C2D"/>
    <w:rsid w:val="00493754"/>
    <w:rsid w:val="00494D60"/>
    <w:rsid w:val="004A120F"/>
    <w:rsid w:val="004B06C0"/>
    <w:rsid w:val="004B25B8"/>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666C"/>
    <w:rsid w:val="00557A2C"/>
    <w:rsid w:val="005614BD"/>
    <w:rsid w:val="00570A46"/>
    <w:rsid w:val="00570E10"/>
    <w:rsid w:val="00582BB8"/>
    <w:rsid w:val="00586627"/>
    <w:rsid w:val="00592560"/>
    <w:rsid w:val="00594245"/>
    <w:rsid w:val="005A4C29"/>
    <w:rsid w:val="005A6498"/>
    <w:rsid w:val="005B3633"/>
    <w:rsid w:val="005C297C"/>
    <w:rsid w:val="005E1AF4"/>
    <w:rsid w:val="005E41A8"/>
    <w:rsid w:val="005E4B6F"/>
    <w:rsid w:val="005E63A7"/>
    <w:rsid w:val="005F0DAD"/>
    <w:rsid w:val="005F1E09"/>
    <w:rsid w:val="005F6DB9"/>
    <w:rsid w:val="005F717C"/>
    <w:rsid w:val="00601968"/>
    <w:rsid w:val="006121EC"/>
    <w:rsid w:val="006135DF"/>
    <w:rsid w:val="00613E69"/>
    <w:rsid w:val="00616A1B"/>
    <w:rsid w:val="00617DC7"/>
    <w:rsid w:val="0062745C"/>
    <w:rsid w:val="00640820"/>
    <w:rsid w:val="00651074"/>
    <w:rsid w:val="00655EF8"/>
    <w:rsid w:val="00662629"/>
    <w:rsid w:val="006649B5"/>
    <w:rsid w:val="006657F0"/>
    <w:rsid w:val="006666B7"/>
    <w:rsid w:val="0067017A"/>
    <w:rsid w:val="0067035D"/>
    <w:rsid w:val="00675E9D"/>
    <w:rsid w:val="00677BD2"/>
    <w:rsid w:val="00684A58"/>
    <w:rsid w:val="0068677D"/>
    <w:rsid w:val="0069089C"/>
    <w:rsid w:val="0069401B"/>
    <w:rsid w:val="00694132"/>
    <w:rsid w:val="00696E92"/>
    <w:rsid w:val="006C1304"/>
    <w:rsid w:val="006C63A9"/>
    <w:rsid w:val="006D12F2"/>
    <w:rsid w:val="006D6752"/>
    <w:rsid w:val="006D7158"/>
    <w:rsid w:val="006E7FB6"/>
    <w:rsid w:val="006F15D9"/>
    <w:rsid w:val="0070278B"/>
    <w:rsid w:val="00704D69"/>
    <w:rsid w:val="0070581F"/>
    <w:rsid w:val="007073CF"/>
    <w:rsid w:val="007105D8"/>
    <w:rsid w:val="007235CD"/>
    <w:rsid w:val="00723BBB"/>
    <w:rsid w:val="00732E8D"/>
    <w:rsid w:val="00733A3B"/>
    <w:rsid w:val="00737082"/>
    <w:rsid w:val="00741319"/>
    <w:rsid w:val="0074225A"/>
    <w:rsid w:val="0074625A"/>
    <w:rsid w:val="00751617"/>
    <w:rsid w:val="00752958"/>
    <w:rsid w:val="00753EF3"/>
    <w:rsid w:val="00766457"/>
    <w:rsid w:val="00770E2D"/>
    <w:rsid w:val="00772DDB"/>
    <w:rsid w:val="007836C2"/>
    <w:rsid w:val="007847BD"/>
    <w:rsid w:val="00785950"/>
    <w:rsid w:val="0078666A"/>
    <w:rsid w:val="007908CC"/>
    <w:rsid w:val="007919A7"/>
    <w:rsid w:val="00793EC1"/>
    <w:rsid w:val="007A1EF8"/>
    <w:rsid w:val="007A3237"/>
    <w:rsid w:val="007B1114"/>
    <w:rsid w:val="007B6250"/>
    <w:rsid w:val="007C272A"/>
    <w:rsid w:val="007C5693"/>
    <w:rsid w:val="007C591A"/>
    <w:rsid w:val="007D041C"/>
    <w:rsid w:val="007D1D50"/>
    <w:rsid w:val="007E227D"/>
    <w:rsid w:val="007E56EB"/>
    <w:rsid w:val="007F1CA7"/>
    <w:rsid w:val="007F1ECD"/>
    <w:rsid w:val="007F22F6"/>
    <w:rsid w:val="007F2B7F"/>
    <w:rsid w:val="007F35D3"/>
    <w:rsid w:val="007F4061"/>
    <w:rsid w:val="00800157"/>
    <w:rsid w:val="008010BF"/>
    <w:rsid w:val="00803153"/>
    <w:rsid w:val="00804DA4"/>
    <w:rsid w:val="008058F7"/>
    <w:rsid w:val="008107CB"/>
    <w:rsid w:val="00821490"/>
    <w:rsid w:val="00826DB8"/>
    <w:rsid w:val="00841164"/>
    <w:rsid w:val="00851755"/>
    <w:rsid w:val="00864020"/>
    <w:rsid w:val="0086795E"/>
    <w:rsid w:val="008768DD"/>
    <w:rsid w:val="00877BBA"/>
    <w:rsid w:val="008802C3"/>
    <w:rsid w:val="00880A1A"/>
    <w:rsid w:val="008821B5"/>
    <w:rsid w:val="00885CF4"/>
    <w:rsid w:val="0088742D"/>
    <w:rsid w:val="008A7BF1"/>
    <w:rsid w:val="008C3577"/>
    <w:rsid w:val="008C6817"/>
    <w:rsid w:val="008D6125"/>
    <w:rsid w:val="009042BA"/>
    <w:rsid w:val="0091794F"/>
    <w:rsid w:val="009214FA"/>
    <w:rsid w:val="00923695"/>
    <w:rsid w:val="009332D0"/>
    <w:rsid w:val="00934373"/>
    <w:rsid w:val="00934498"/>
    <w:rsid w:val="00940E8C"/>
    <w:rsid w:val="009454A1"/>
    <w:rsid w:val="00951486"/>
    <w:rsid w:val="009534FD"/>
    <w:rsid w:val="00955073"/>
    <w:rsid w:val="00960C53"/>
    <w:rsid w:val="00963038"/>
    <w:rsid w:val="00965760"/>
    <w:rsid w:val="00971196"/>
    <w:rsid w:val="00976060"/>
    <w:rsid w:val="00986F13"/>
    <w:rsid w:val="009927B9"/>
    <w:rsid w:val="009A3CD8"/>
    <w:rsid w:val="009B0BBB"/>
    <w:rsid w:val="009B5CF3"/>
    <w:rsid w:val="009C3AC4"/>
    <w:rsid w:val="009D148E"/>
    <w:rsid w:val="009D304F"/>
    <w:rsid w:val="009D3453"/>
    <w:rsid w:val="009D581C"/>
    <w:rsid w:val="009D6170"/>
    <w:rsid w:val="009F103E"/>
    <w:rsid w:val="009F2E1E"/>
    <w:rsid w:val="00A0324C"/>
    <w:rsid w:val="00A106FC"/>
    <w:rsid w:val="00A11B0D"/>
    <w:rsid w:val="00A13D12"/>
    <w:rsid w:val="00A210FF"/>
    <w:rsid w:val="00A31072"/>
    <w:rsid w:val="00A32139"/>
    <w:rsid w:val="00A416A7"/>
    <w:rsid w:val="00A4794F"/>
    <w:rsid w:val="00A54827"/>
    <w:rsid w:val="00A55FA0"/>
    <w:rsid w:val="00A56590"/>
    <w:rsid w:val="00A627A8"/>
    <w:rsid w:val="00A672CC"/>
    <w:rsid w:val="00A80E92"/>
    <w:rsid w:val="00A82097"/>
    <w:rsid w:val="00A856C2"/>
    <w:rsid w:val="00A92BDB"/>
    <w:rsid w:val="00A93CC7"/>
    <w:rsid w:val="00AA0711"/>
    <w:rsid w:val="00AA1E5C"/>
    <w:rsid w:val="00AB52B1"/>
    <w:rsid w:val="00AC05F8"/>
    <w:rsid w:val="00AC1F56"/>
    <w:rsid w:val="00AC2FD5"/>
    <w:rsid w:val="00AD5BBA"/>
    <w:rsid w:val="00AD632A"/>
    <w:rsid w:val="00AE1C7E"/>
    <w:rsid w:val="00AE3AD5"/>
    <w:rsid w:val="00AE4C38"/>
    <w:rsid w:val="00AE5A04"/>
    <w:rsid w:val="00AF6817"/>
    <w:rsid w:val="00B01012"/>
    <w:rsid w:val="00B07495"/>
    <w:rsid w:val="00B10766"/>
    <w:rsid w:val="00B12912"/>
    <w:rsid w:val="00B12FE1"/>
    <w:rsid w:val="00B206C2"/>
    <w:rsid w:val="00B207C0"/>
    <w:rsid w:val="00B20C7F"/>
    <w:rsid w:val="00B25279"/>
    <w:rsid w:val="00B26BE5"/>
    <w:rsid w:val="00B37FD8"/>
    <w:rsid w:val="00B4109B"/>
    <w:rsid w:val="00B461E9"/>
    <w:rsid w:val="00B501CE"/>
    <w:rsid w:val="00B52782"/>
    <w:rsid w:val="00B639FE"/>
    <w:rsid w:val="00B762FB"/>
    <w:rsid w:val="00B80932"/>
    <w:rsid w:val="00BA75E7"/>
    <w:rsid w:val="00BC5C56"/>
    <w:rsid w:val="00BD1B8D"/>
    <w:rsid w:val="00BE01AE"/>
    <w:rsid w:val="00BE21C2"/>
    <w:rsid w:val="00BE22A5"/>
    <w:rsid w:val="00BE29C5"/>
    <w:rsid w:val="00BE33CB"/>
    <w:rsid w:val="00BF271C"/>
    <w:rsid w:val="00BF3443"/>
    <w:rsid w:val="00BF3C94"/>
    <w:rsid w:val="00C032DB"/>
    <w:rsid w:val="00C03B76"/>
    <w:rsid w:val="00C12774"/>
    <w:rsid w:val="00C12E25"/>
    <w:rsid w:val="00C13244"/>
    <w:rsid w:val="00C157D1"/>
    <w:rsid w:val="00C21CD1"/>
    <w:rsid w:val="00C265C9"/>
    <w:rsid w:val="00C30290"/>
    <w:rsid w:val="00C31FCB"/>
    <w:rsid w:val="00C340A2"/>
    <w:rsid w:val="00C34E12"/>
    <w:rsid w:val="00C40379"/>
    <w:rsid w:val="00C4084A"/>
    <w:rsid w:val="00C447DC"/>
    <w:rsid w:val="00C46038"/>
    <w:rsid w:val="00C46964"/>
    <w:rsid w:val="00C506B3"/>
    <w:rsid w:val="00C52D7E"/>
    <w:rsid w:val="00C61E16"/>
    <w:rsid w:val="00C6240E"/>
    <w:rsid w:val="00C750D7"/>
    <w:rsid w:val="00C77D7E"/>
    <w:rsid w:val="00C9037D"/>
    <w:rsid w:val="00C976B1"/>
    <w:rsid w:val="00CA2221"/>
    <w:rsid w:val="00CA4D65"/>
    <w:rsid w:val="00CA539A"/>
    <w:rsid w:val="00CB0BDF"/>
    <w:rsid w:val="00CB11C8"/>
    <w:rsid w:val="00CC3FB2"/>
    <w:rsid w:val="00CD272D"/>
    <w:rsid w:val="00CD7752"/>
    <w:rsid w:val="00CE2469"/>
    <w:rsid w:val="00CE2903"/>
    <w:rsid w:val="00CF0613"/>
    <w:rsid w:val="00CF397F"/>
    <w:rsid w:val="00CF582A"/>
    <w:rsid w:val="00D0619B"/>
    <w:rsid w:val="00D12A75"/>
    <w:rsid w:val="00D15516"/>
    <w:rsid w:val="00D16897"/>
    <w:rsid w:val="00D17807"/>
    <w:rsid w:val="00D22579"/>
    <w:rsid w:val="00D25AB3"/>
    <w:rsid w:val="00D26930"/>
    <w:rsid w:val="00D31EF1"/>
    <w:rsid w:val="00D41FF6"/>
    <w:rsid w:val="00D50AFD"/>
    <w:rsid w:val="00D54653"/>
    <w:rsid w:val="00D54DD7"/>
    <w:rsid w:val="00D62434"/>
    <w:rsid w:val="00D63CDF"/>
    <w:rsid w:val="00D66DC0"/>
    <w:rsid w:val="00D76C26"/>
    <w:rsid w:val="00DA1668"/>
    <w:rsid w:val="00DA5E9F"/>
    <w:rsid w:val="00DB112F"/>
    <w:rsid w:val="00DB2D1A"/>
    <w:rsid w:val="00DB391A"/>
    <w:rsid w:val="00DB42DA"/>
    <w:rsid w:val="00DB4C82"/>
    <w:rsid w:val="00DB6BBF"/>
    <w:rsid w:val="00DC1504"/>
    <w:rsid w:val="00DC6BE8"/>
    <w:rsid w:val="00DC7120"/>
    <w:rsid w:val="00DD46B2"/>
    <w:rsid w:val="00DD75AC"/>
    <w:rsid w:val="00DE50A4"/>
    <w:rsid w:val="00E03BF3"/>
    <w:rsid w:val="00E060F3"/>
    <w:rsid w:val="00E108A0"/>
    <w:rsid w:val="00E13ECC"/>
    <w:rsid w:val="00E23DB5"/>
    <w:rsid w:val="00E252A3"/>
    <w:rsid w:val="00E27E8F"/>
    <w:rsid w:val="00E31FC7"/>
    <w:rsid w:val="00E40070"/>
    <w:rsid w:val="00E41F99"/>
    <w:rsid w:val="00E42D16"/>
    <w:rsid w:val="00E45B7C"/>
    <w:rsid w:val="00E55A39"/>
    <w:rsid w:val="00E61958"/>
    <w:rsid w:val="00E6594C"/>
    <w:rsid w:val="00E71D9B"/>
    <w:rsid w:val="00E83A7D"/>
    <w:rsid w:val="00E90452"/>
    <w:rsid w:val="00E91B96"/>
    <w:rsid w:val="00E943BB"/>
    <w:rsid w:val="00EB0635"/>
    <w:rsid w:val="00EB2990"/>
    <w:rsid w:val="00EB2CDC"/>
    <w:rsid w:val="00EB3A2B"/>
    <w:rsid w:val="00EB40BF"/>
    <w:rsid w:val="00ED3396"/>
    <w:rsid w:val="00EE2E2A"/>
    <w:rsid w:val="00EF0C69"/>
    <w:rsid w:val="00EF374C"/>
    <w:rsid w:val="00EF6944"/>
    <w:rsid w:val="00EF7415"/>
    <w:rsid w:val="00F01039"/>
    <w:rsid w:val="00F0468B"/>
    <w:rsid w:val="00F06433"/>
    <w:rsid w:val="00F11108"/>
    <w:rsid w:val="00F12A2C"/>
    <w:rsid w:val="00F24B4E"/>
    <w:rsid w:val="00F25E1F"/>
    <w:rsid w:val="00F265A4"/>
    <w:rsid w:val="00F36784"/>
    <w:rsid w:val="00F44991"/>
    <w:rsid w:val="00F4525D"/>
    <w:rsid w:val="00F45B1D"/>
    <w:rsid w:val="00F465C9"/>
    <w:rsid w:val="00F71DE8"/>
    <w:rsid w:val="00F75A8B"/>
    <w:rsid w:val="00F77B01"/>
    <w:rsid w:val="00F94CDD"/>
    <w:rsid w:val="00FA0164"/>
    <w:rsid w:val="00FA1987"/>
    <w:rsid w:val="00FA2F31"/>
    <w:rsid w:val="00FA509E"/>
    <w:rsid w:val="00FB0304"/>
    <w:rsid w:val="00FB3AC8"/>
    <w:rsid w:val="00FB4E13"/>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0871"/>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 w:type="paragraph" w:styleId="ac">
    <w:name w:val="annotation subject"/>
    <w:basedOn w:val="a7"/>
    <w:next w:val="a7"/>
    <w:link w:val="ad"/>
    <w:uiPriority w:val="99"/>
    <w:semiHidden/>
    <w:unhideWhenUsed/>
    <w:rsid w:val="00D54DD7"/>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D54DD7"/>
    <w:rPr>
      <w:rFonts w:ascii="Times New Roman" w:eastAsia="Times New Roman" w:hAnsi="Times New Roman" w:cs="Times New Roman"/>
      <w:b/>
      <w:bCs/>
      <w:sz w:val="20"/>
      <w:szCs w:val="20"/>
    </w:rPr>
  </w:style>
  <w:style w:type="paragraph" w:styleId="ae">
    <w:name w:val="header"/>
    <w:basedOn w:val="a"/>
    <w:link w:val="af"/>
    <w:uiPriority w:val="99"/>
    <w:unhideWhenUsed/>
    <w:rsid w:val="0086795E"/>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6795E"/>
  </w:style>
  <w:style w:type="paragraph" w:styleId="af0">
    <w:name w:val="footer"/>
    <w:basedOn w:val="a"/>
    <w:link w:val="af1"/>
    <w:uiPriority w:val="99"/>
    <w:unhideWhenUsed/>
    <w:rsid w:val="0086795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6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C344F-8CCD-4216-BD1C-F90BD161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35242</Words>
  <Characters>20089</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2025-08-18T14:25:00Z</dcterms:created>
  <dcterms:modified xsi:type="dcterms:W3CDTF">2025-08-18T14:25:00Z</dcterms:modified>
</cp:coreProperties>
</file>