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61EA" w14:textId="0DE5197D" w:rsidR="00004C09" w:rsidRPr="006A6C3E" w:rsidRDefault="00004C09" w:rsidP="00D34C8A">
      <w:pPr>
        <w:spacing w:after="0" w:line="240" w:lineRule="auto"/>
        <w:jc w:val="center"/>
        <w:rPr>
          <w:rFonts w:ascii="Times New Roman" w:eastAsia="Times New Roman" w:hAnsi="Times New Roman" w:cs="Times New Roman"/>
          <w:b/>
          <w:sz w:val="28"/>
          <w:szCs w:val="28"/>
          <w:lang w:eastAsia="uk-UA"/>
        </w:rPr>
      </w:pPr>
      <w:bookmarkStart w:id="0" w:name="_GoBack"/>
      <w:bookmarkEnd w:id="0"/>
      <w:r w:rsidRPr="006A6C3E">
        <w:rPr>
          <w:rFonts w:ascii="Times New Roman" w:eastAsia="Times New Roman" w:hAnsi="Times New Roman" w:cs="Times New Roman"/>
          <w:b/>
          <w:sz w:val="28"/>
          <w:szCs w:val="28"/>
          <w:u w:val="single"/>
          <w:lang w:eastAsia="uk-UA"/>
        </w:rPr>
        <w:t>Правила формування</w:t>
      </w:r>
      <w:r w:rsidRPr="006A6C3E">
        <w:rPr>
          <w:rFonts w:ascii="Times New Roman" w:eastAsia="Times New Roman" w:hAnsi="Times New Roman" w:cs="Times New Roman"/>
          <w:b/>
          <w:sz w:val="28"/>
          <w:szCs w:val="28"/>
          <w:u w:val="single"/>
          <w:lang w:val="ru-RU" w:eastAsia="uk-UA"/>
        </w:rPr>
        <w:t xml:space="preserve"> </w:t>
      </w:r>
      <w:r w:rsidRPr="006A6C3E">
        <w:rPr>
          <w:rFonts w:ascii="Times New Roman" w:eastAsia="Times New Roman" w:hAnsi="Times New Roman" w:cs="Times New Roman"/>
          <w:b/>
          <w:sz w:val="28"/>
          <w:szCs w:val="28"/>
          <w:u w:val="single"/>
          <w:lang w:eastAsia="uk-UA"/>
        </w:rPr>
        <w:t>показників</w:t>
      </w:r>
      <w:r w:rsidRPr="006A6C3E">
        <w:rPr>
          <w:rFonts w:ascii="Times New Roman" w:eastAsia="Times New Roman" w:hAnsi="Times New Roman" w:cs="Times New Roman"/>
          <w:b/>
          <w:sz w:val="28"/>
          <w:szCs w:val="28"/>
          <w:lang w:eastAsia="uk-UA"/>
        </w:rPr>
        <w:t>,</w:t>
      </w:r>
    </w:p>
    <w:p w14:paraId="316D1C29" w14:textId="6E319911" w:rsidR="00004C09" w:rsidRPr="006A6C3E" w:rsidRDefault="001A39CD" w:rsidP="00920CCC">
      <w:pPr>
        <w:spacing w:after="120" w:line="240" w:lineRule="auto"/>
        <w:jc w:val="center"/>
        <w:rPr>
          <w:rFonts w:ascii="Times New Roman" w:eastAsia="Times New Roman" w:hAnsi="Times New Roman" w:cs="Times New Roman"/>
          <w:b/>
          <w:sz w:val="28"/>
          <w:szCs w:val="28"/>
          <w:lang w:eastAsia="uk-UA"/>
        </w:rPr>
      </w:pPr>
      <w:r w:rsidRPr="006A6C3E">
        <w:rPr>
          <w:rFonts w:ascii="Times New Roman" w:eastAsia="Times New Roman" w:hAnsi="Times New Roman" w:cs="Times New Roman"/>
          <w:b/>
          <w:sz w:val="28"/>
          <w:szCs w:val="28"/>
          <w:lang w:eastAsia="uk-UA"/>
        </w:rPr>
        <w:t>що подаються у звітному файлі 6</w:t>
      </w:r>
      <w:r w:rsidR="006252F5" w:rsidRPr="006A6C3E">
        <w:rPr>
          <w:rFonts w:ascii="Times New Roman" w:eastAsia="Times New Roman" w:hAnsi="Times New Roman" w:cs="Times New Roman"/>
          <w:b/>
          <w:sz w:val="28"/>
          <w:szCs w:val="28"/>
          <w:lang w:val="en-US" w:eastAsia="uk-UA"/>
        </w:rPr>
        <w:t>JX</w:t>
      </w:r>
      <w:r w:rsidR="00004C09" w:rsidRPr="006A6C3E">
        <w:rPr>
          <w:rFonts w:ascii="Times New Roman" w:eastAsia="Times New Roman" w:hAnsi="Times New Roman" w:cs="Times New Roman"/>
          <w:b/>
          <w:sz w:val="28"/>
          <w:szCs w:val="28"/>
          <w:lang w:eastAsia="uk-UA"/>
        </w:rPr>
        <w:t xml:space="preserve"> “Дані щодо розрахунку </w:t>
      </w:r>
      <w:r w:rsidR="00C837B1" w:rsidRPr="006A6C3E">
        <w:rPr>
          <w:rFonts w:ascii="Times New Roman" w:eastAsia="Times New Roman" w:hAnsi="Times New Roman" w:cs="Times New Roman"/>
          <w:b/>
          <w:sz w:val="28"/>
          <w:szCs w:val="28"/>
          <w:lang w:eastAsia="uk-UA"/>
        </w:rPr>
        <w:t xml:space="preserve">банками </w:t>
      </w:r>
      <w:r w:rsidRPr="006A6C3E">
        <w:rPr>
          <w:rFonts w:ascii="Times New Roman" w:eastAsia="Times New Roman" w:hAnsi="Times New Roman" w:cs="Times New Roman"/>
          <w:b/>
          <w:sz w:val="28"/>
          <w:szCs w:val="28"/>
          <w:lang w:eastAsia="uk-UA"/>
        </w:rPr>
        <w:t>значення коефіцієнта левериджу</w:t>
      </w:r>
      <w:r w:rsidR="00004C09" w:rsidRPr="006A6C3E">
        <w:rPr>
          <w:rFonts w:ascii="Times New Roman" w:eastAsia="Times New Roman" w:hAnsi="Times New Roman" w:cs="Times New Roman"/>
          <w:b/>
          <w:sz w:val="28"/>
          <w:szCs w:val="28"/>
          <w:lang w:eastAsia="uk-UA"/>
        </w:rPr>
        <w:t>”</w:t>
      </w:r>
    </w:p>
    <w:p w14:paraId="2A552FFE" w14:textId="525C85FB" w:rsidR="00EE39F1" w:rsidRPr="006A6C3E" w:rsidRDefault="008D26BB" w:rsidP="00920CCC">
      <w:pPr>
        <w:spacing w:after="0" w:line="240" w:lineRule="auto"/>
        <w:ind w:firstLine="709"/>
        <w:jc w:val="both"/>
        <w:rPr>
          <w:rFonts w:ascii="Times New Roman" w:eastAsia="Times New Roman" w:hAnsi="Times New Roman" w:cs="Times New Roman"/>
          <w:sz w:val="28"/>
          <w:szCs w:val="28"/>
          <w:lang w:eastAsia="uk-UA"/>
        </w:rPr>
      </w:pPr>
      <w:r w:rsidRPr="006A6C3E">
        <w:rPr>
          <w:rFonts w:ascii="Times New Roman" w:eastAsia="Times New Roman" w:hAnsi="Times New Roman" w:cs="Times New Roman"/>
          <w:sz w:val="28"/>
          <w:szCs w:val="28"/>
          <w:lang w:eastAsia="uk-UA"/>
        </w:rPr>
        <w:t xml:space="preserve">1. Дані </w:t>
      </w:r>
      <w:r w:rsidR="00D41F45" w:rsidRPr="006A6C3E">
        <w:rPr>
          <w:rFonts w:ascii="Times New Roman" w:eastAsia="Times New Roman" w:hAnsi="Times New Roman" w:cs="Times New Roman"/>
          <w:sz w:val="28"/>
          <w:szCs w:val="28"/>
          <w:lang w:eastAsia="uk-UA"/>
        </w:rPr>
        <w:t>файлу</w:t>
      </w:r>
      <w:r w:rsidR="00EA548C" w:rsidRPr="006A6C3E">
        <w:rPr>
          <w:rFonts w:ascii="Times New Roman" w:eastAsia="Times New Roman" w:hAnsi="Times New Roman" w:cs="Times New Roman"/>
          <w:sz w:val="28"/>
          <w:szCs w:val="28"/>
          <w:lang w:eastAsia="uk-UA"/>
        </w:rPr>
        <w:t xml:space="preserve"> </w:t>
      </w:r>
      <w:r w:rsidR="00CD3DB2" w:rsidRPr="006A6C3E">
        <w:rPr>
          <w:rFonts w:ascii="Times New Roman" w:eastAsia="Times New Roman" w:hAnsi="Times New Roman" w:cs="Times New Roman"/>
          <w:sz w:val="28"/>
          <w:szCs w:val="28"/>
          <w:lang w:eastAsia="uk-UA"/>
        </w:rPr>
        <w:t>6</w:t>
      </w:r>
      <w:r w:rsidR="006252F5" w:rsidRPr="006A6C3E">
        <w:rPr>
          <w:rFonts w:ascii="Times New Roman" w:eastAsia="Times New Roman" w:hAnsi="Times New Roman" w:cs="Times New Roman"/>
          <w:sz w:val="28"/>
          <w:szCs w:val="28"/>
          <w:lang w:val="en-US" w:eastAsia="uk-UA"/>
        </w:rPr>
        <w:t>JX</w:t>
      </w:r>
      <w:r w:rsidRPr="006A6C3E">
        <w:rPr>
          <w:rFonts w:ascii="Times New Roman" w:eastAsia="Times New Roman" w:hAnsi="Times New Roman" w:cs="Times New Roman"/>
          <w:sz w:val="28"/>
          <w:szCs w:val="28"/>
          <w:lang w:eastAsia="uk-UA"/>
        </w:rPr>
        <w:t xml:space="preserve"> “</w:t>
      </w:r>
      <w:r w:rsidR="00967FE8" w:rsidRPr="006A6C3E">
        <w:rPr>
          <w:rFonts w:ascii="Times New Roman" w:eastAsia="Times New Roman" w:hAnsi="Times New Roman" w:cs="Times New Roman"/>
          <w:sz w:val="28"/>
          <w:szCs w:val="28"/>
          <w:lang w:eastAsia="uk-UA"/>
        </w:rPr>
        <w:t xml:space="preserve">Дані щодо розрахунку </w:t>
      </w:r>
      <w:r w:rsidR="00862C7B">
        <w:rPr>
          <w:rFonts w:ascii="Times New Roman" w:eastAsia="Times New Roman" w:hAnsi="Times New Roman" w:cs="Times New Roman"/>
          <w:sz w:val="28"/>
          <w:szCs w:val="28"/>
          <w:lang w:eastAsia="uk-UA"/>
        </w:rPr>
        <w:t>банками значення коефіцієнта левериджу</w:t>
      </w:r>
      <w:r w:rsidRPr="006A6C3E">
        <w:rPr>
          <w:rFonts w:ascii="Times New Roman" w:eastAsia="Times New Roman" w:hAnsi="Times New Roman" w:cs="Times New Roman"/>
          <w:bCs/>
          <w:sz w:val="28"/>
          <w:szCs w:val="28"/>
          <w:lang w:eastAsia="uk-UA"/>
        </w:rPr>
        <w:t>”</w:t>
      </w:r>
      <w:r w:rsidR="00EE39F1" w:rsidRPr="006A6C3E">
        <w:rPr>
          <w:rFonts w:ascii="Times New Roman" w:eastAsia="Times New Roman" w:hAnsi="Times New Roman" w:cs="Times New Roman"/>
          <w:bCs/>
          <w:sz w:val="28"/>
          <w:szCs w:val="28"/>
          <w:lang w:eastAsia="uk-UA"/>
        </w:rPr>
        <w:t xml:space="preserve"> (далі – файл </w:t>
      </w:r>
      <w:r w:rsidR="00967FE8" w:rsidRPr="006A6C3E">
        <w:rPr>
          <w:rFonts w:ascii="Times New Roman" w:eastAsia="Times New Roman" w:hAnsi="Times New Roman" w:cs="Times New Roman"/>
          <w:sz w:val="28"/>
          <w:szCs w:val="28"/>
          <w:lang w:eastAsia="uk-UA"/>
        </w:rPr>
        <w:t>6</w:t>
      </w:r>
      <w:r w:rsidR="006252F5" w:rsidRPr="006A6C3E">
        <w:rPr>
          <w:rFonts w:ascii="Times New Roman" w:eastAsia="Times New Roman" w:hAnsi="Times New Roman" w:cs="Times New Roman"/>
          <w:sz w:val="28"/>
          <w:szCs w:val="28"/>
          <w:lang w:val="en-US" w:eastAsia="uk-UA"/>
        </w:rPr>
        <w:t>JX</w:t>
      </w:r>
      <w:r w:rsidR="00EE39F1" w:rsidRPr="006A6C3E">
        <w:rPr>
          <w:rFonts w:ascii="Times New Roman" w:eastAsia="Times New Roman" w:hAnsi="Times New Roman" w:cs="Times New Roman"/>
          <w:bCs/>
          <w:sz w:val="28"/>
          <w:szCs w:val="28"/>
          <w:lang w:eastAsia="uk-UA"/>
        </w:rPr>
        <w:t>)</w:t>
      </w:r>
      <w:r w:rsidRPr="006A6C3E">
        <w:rPr>
          <w:rFonts w:ascii="Times New Roman" w:eastAsia="Times New Roman" w:hAnsi="Times New Roman" w:cs="Times New Roman"/>
          <w:bCs/>
          <w:sz w:val="28"/>
          <w:szCs w:val="28"/>
          <w:lang w:eastAsia="uk-UA"/>
        </w:rPr>
        <w:t xml:space="preserve"> є інформаційними даними про </w:t>
      </w:r>
      <w:r w:rsidR="00967FE8" w:rsidRPr="006A6C3E">
        <w:rPr>
          <w:rFonts w:ascii="Times New Roman" w:eastAsia="Times New Roman" w:hAnsi="Times New Roman" w:cs="Times New Roman"/>
          <w:bCs/>
          <w:sz w:val="28"/>
          <w:szCs w:val="28"/>
          <w:lang w:eastAsia="uk-UA"/>
        </w:rPr>
        <w:t xml:space="preserve">складові розрахунку значення коефіцієнта левериджу </w:t>
      </w:r>
      <w:r w:rsidR="007B4DB3" w:rsidRPr="006A6C3E">
        <w:rPr>
          <w:rFonts w:ascii="Times New Roman" w:eastAsia="Times New Roman" w:hAnsi="Times New Roman" w:cs="Times New Roman"/>
          <w:bCs/>
          <w:sz w:val="28"/>
          <w:szCs w:val="28"/>
          <w:lang w:eastAsia="uk-UA"/>
        </w:rPr>
        <w:t xml:space="preserve">згідно </w:t>
      </w:r>
      <w:r w:rsidRPr="006A6C3E">
        <w:rPr>
          <w:rFonts w:ascii="Times New Roman" w:eastAsia="Times New Roman" w:hAnsi="Times New Roman" w:cs="Times New Roman"/>
          <w:sz w:val="28"/>
          <w:szCs w:val="28"/>
          <w:lang w:eastAsia="uk-UA"/>
        </w:rPr>
        <w:t>з</w:t>
      </w:r>
      <w:r w:rsidR="00A07736" w:rsidRPr="006A6C3E">
        <w:rPr>
          <w:rFonts w:ascii="Times New Roman" w:eastAsia="Times New Roman" w:hAnsi="Times New Roman" w:cs="Times New Roman"/>
          <w:sz w:val="28"/>
          <w:szCs w:val="28"/>
          <w:lang w:eastAsia="uk-UA"/>
        </w:rPr>
        <w:t xml:space="preserve"> </w:t>
      </w:r>
      <w:r w:rsidR="006B59C5" w:rsidRPr="006A6C3E">
        <w:rPr>
          <w:rFonts w:ascii="Times New Roman" w:eastAsia="Times New Roman" w:hAnsi="Times New Roman" w:cs="Times New Roman"/>
          <w:bCs/>
          <w:sz w:val="28"/>
          <w:szCs w:val="28"/>
          <w:lang w:eastAsia="uk-UA"/>
        </w:rPr>
        <w:t xml:space="preserve">Положенням </w:t>
      </w:r>
      <w:r w:rsidR="00A07736" w:rsidRPr="006A6C3E">
        <w:rPr>
          <w:rFonts w:ascii="Times New Roman" w:eastAsia="Times New Roman" w:hAnsi="Times New Roman" w:cs="Times New Roman"/>
          <w:bCs/>
          <w:sz w:val="28"/>
          <w:szCs w:val="28"/>
          <w:lang w:eastAsia="uk-UA"/>
        </w:rPr>
        <w:t>про порядок розрахунку банками України та банківськими групами</w:t>
      </w:r>
      <w:r w:rsidR="00A07736" w:rsidRPr="006A6C3E">
        <w:rPr>
          <w:rFonts w:ascii="Times New Roman" w:eastAsia="Times New Roman" w:hAnsi="Times New Roman" w:cs="Times New Roman"/>
          <w:bCs/>
          <w:color w:val="FF0000"/>
          <w:sz w:val="28"/>
          <w:szCs w:val="28"/>
          <w:lang w:eastAsia="uk-UA"/>
        </w:rPr>
        <w:t xml:space="preserve"> </w:t>
      </w:r>
      <w:r w:rsidR="00A07736" w:rsidRPr="006A6C3E">
        <w:rPr>
          <w:rFonts w:ascii="Times New Roman" w:eastAsia="Times New Roman" w:hAnsi="Times New Roman" w:cs="Times New Roman"/>
          <w:bCs/>
          <w:sz w:val="28"/>
          <w:szCs w:val="28"/>
          <w:lang w:eastAsia="uk-UA"/>
        </w:rPr>
        <w:t>значення коефіцієнта левериджу</w:t>
      </w:r>
      <w:r w:rsidRPr="006A6C3E">
        <w:rPr>
          <w:rFonts w:ascii="Times New Roman" w:eastAsia="Times New Roman" w:hAnsi="Times New Roman" w:cs="Times New Roman"/>
          <w:sz w:val="28"/>
          <w:szCs w:val="28"/>
          <w:lang w:eastAsia="uk-UA"/>
        </w:rPr>
        <w:t>, затверджен</w:t>
      </w:r>
      <w:r w:rsidR="002201C8" w:rsidRPr="006A6C3E">
        <w:rPr>
          <w:rFonts w:ascii="Times New Roman" w:eastAsia="Times New Roman" w:hAnsi="Times New Roman" w:cs="Times New Roman"/>
          <w:sz w:val="28"/>
          <w:szCs w:val="28"/>
          <w:lang w:eastAsia="uk-UA"/>
        </w:rPr>
        <w:t>им</w:t>
      </w:r>
      <w:r w:rsidRPr="006A6C3E">
        <w:rPr>
          <w:rFonts w:ascii="Times New Roman" w:eastAsia="Times New Roman" w:hAnsi="Times New Roman" w:cs="Times New Roman"/>
          <w:sz w:val="28"/>
          <w:szCs w:val="28"/>
          <w:lang w:eastAsia="uk-UA"/>
        </w:rPr>
        <w:t xml:space="preserve"> </w:t>
      </w:r>
      <w:r w:rsidR="002201C8" w:rsidRPr="006A6C3E">
        <w:rPr>
          <w:rFonts w:ascii="Times New Roman" w:eastAsia="Times New Roman" w:hAnsi="Times New Roman" w:cs="Times New Roman"/>
          <w:sz w:val="28"/>
          <w:szCs w:val="28"/>
          <w:lang w:eastAsia="uk-UA"/>
        </w:rPr>
        <w:t>постановою</w:t>
      </w:r>
      <w:r w:rsidRPr="006A6C3E">
        <w:rPr>
          <w:rFonts w:ascii="Times New Roman" w:eastAsia="Times New Roman" w:hAnsi="Times New Roman" w:cs="Times New Roman"/>
          <w:sz w:val="28"/>
          <w:szCs w:val="28"/>
          <w:lang w:eastAsia="uk-UA"/>
        </w:rPr>
        <w:t xml:space="preserve"> Правлінн</w:t>
      </w:r>
      <w:r w:rsidR="00447408" w:rsidRPr="006A6C3E">
        <w:rPr>
          <w:rFonts w:ascii="Times New Roman" w:eastAsia="Times New Roman" w:hAnsi="Times New Roman" w:cs="Times New Roman"/>
          <w:sz w:val="28"/>
          <w:szCs w:val="28"/>
          <w:lang w:eastAsia="uk-UA"/>
        </w:rPr>
        <w:t xml:space="preserve">я Національного банку України </w:t>
      </w:r>
      <w:r w:rsidR="00A07736" w:rsidRPr="006A6C3E">
        <w:rPr>
          <w:rFonts w:ascii="Times New Roman" w:eastAsia="Times New Roman" w:hAnsi="Times New Roman" w:cs="Times New Roman"/>
          <w:sz w:val="28"/>
          <w:szCs w:val="28"/>
          <w:lang w:eastAsia="uk-UA"/>
        </w:rPr>
        <w:t>від 19.07.2024</w:t>
      </w:r>
      <w:r w:rsidR="00E6586A" w:rsidRPr="00920CCC">
        <w:rPr>
          <w:rFonts w:ascii="Times New Roman" w:eastAsia="Times New Roman" w:hAnsi="Times New Roman" w:cs="Times New Roman"/>
          <w:sz w:val="28"/>
          <w:szCs w:val="28"/>
          <w:lang w:eastAsia="uk-UA"/>
        </w:rPr>
        <w:t xml:space="preserve"> </w:t>
      </w:r>
      <w:r w:rsidR="00A07736" w:rsidRPr="006A6C3E">
        <w:rPr>
          <w:rFonts w:ascii="Times New Roman" w:eastAsia="Times New Roman" w:hAnsi="Times New Roman" w:cs="Times New Roman"/>
          <w:sz w:val="28"/>
          <w:szCs w:val="28"/>
          <w:lang w:eastAsia="uk-UA"/>
        </w:rPr>
        <w:t>№ 89</w:t>
      </w:r>
      <w:r w:rsidRPr="006A6C3E">
        <w:rPr>
          <w:rFonts w:ascii="Times New Roman" w:eastAsia="Times New Roman" w:hAnsi="Times New Roman" w:cs="Times New Roman"/>
          <w:sz w:val="28"/>
          <w:szCs w:val="28"/>
          <w:lang w:eastAsia="uk-UA"/>
        </w:rPr>
        <w:t xml:space="preserve"> (далі – </w:t>
      </w:r>
      <w:r w:rsidR="004E33DA" w:rsidRPr="006A6C3E">
        <w:rPr>
          <w:rFonts w:ascii="Times New Roman" w:eastAsia="Times New Roman" w:hAnsi="Times New Roman" w:cs="Times New Roman"/>
          <w:sz w:val="28"/>
          <w:szCs w:val="28"/>
          <w:lang w:eastAsia="uk-UA"/>
        </w:rPr>
        <w:t xml:space="preserve">Положення </w:t>
      </w:r>
      <w:r w:rsidR="00A07736" w:rsidRPr="006A6C3E">
        <w:rPr>
          <w:rFonts w:ascii="Times New Roman" w:eastAsia="Times New Roman" w:hAnsi="Times New Roman" w:cs="Times New Roman"/>
          <w:sz w:val="28"/>
          <w:szCs w:val="28"/>
          <w:lang w:eastAsia="uk-UA"/>
        </w:rPr>
        <w:t>№ 89</w:t>
      </w:r>
      <w:r w:rsidRPr="006A6C3E">
        <w:rPr>
          <w:rFonts w:ascii="Times New Roman" w:eastAsia="Times New Roman" w:hAnsi="Times New Roman" w:cs="Times New Roman"/>
          <w:sz w:val="28"/>
          <w:szCs w:val="28"/>
          <w:lang w:eastAsia="uk-UA"/>
        </w:rPr>
        <w:t>)</w:t>
      </w:r>
      <w:r w:rsidR="00AF7D26" w:rsidRPr="006A6C3E">
        <w:rPr>
          <w:rFonts w:ascii="Times New Roman" w:eastAsia="Times New Roman" w:hAnsi="Times New Roman" w:cs="Times New Roman"/>
          <w:sz w:val="28"/>
          <w:szCs w:val="28"/>
          <w:lang w:eastAsia="uk-UA"/>
        </w:rPr>
        <w:t>.</w:t>
      </w:r>
    </w:p>
    <w:p w14:paraId="6426141D" w14:textId="569D6660" w:rsidR="00253B8D" w:rsidRPr="00863BF3" w:rsidRDefault="00253B8D" w:rsidP="00920CCC">
      <w:pPr>
        <w:pStyle w:val="af1"/>
        <w:spacing w:before="0" w:beforeAutospacing="0" w:after="0" w:afterAutospacing="0"/>
        <w:ind w:firstLine="709"/>
        <w:jc w:val="both"/>
        <w:rPr>
          <w:sz w:val="28"/>
          <w:szCs w:val="28"/>
        </w:rPr>
      </w:pPr>
      <w:r w:rsidRPr="006A6C3E">
        <w:rPr>
          <w:sz w:val="28"/>
          <w:szCs w:val="28"/>
        </w:rPr>
        <w:t>Терміни та</w:t>
      </w:r>
      <w:r w:rsidR="00484001" w:rsidRPr="006A6C3E">
        <w:rPr>
          <w:sz w:val="28"/>
          <w:szCs w:val="28"/>
        </w:rPr>
        <w:t xml:space="preserve"> скорочення, які використані в цих П</w:t>
      </w:r>
      <w:r w:rsidRPr="006A6C3E">
        <w:rPr>
          <w:sz w:val="28"/>
          <w:szCs w:val="28"/>
        </w:rPr>
        <w:t>равилах</w:t>
      </w:r>
      <w:r w:rsidR="001C1AF0" w:rsidRPr="006A6C3E">
        <w:rPr>
          <w:sz w:val="28"/>
          <w:szCs w:val="28"/>
        </w:rPr>
        <w:t>,</w:t>
      </w:r>
      <w:r w:rsidRPr="006A6C3E">
        <w:rPr>
          <w:sz w:val="28"/>
          <w:szCs w:val="28"/>
        </w:rPr>
        <w:t xml:space="preserve"> відповідають </w:t>
      </w:r>
      <w:r w:rsidRPr="00863BF3">
        <w:rPr>
          <w:sz w:val="28"/>
          <w:szCs w:val="28"/>
        </w:rPr>
        <w:t>термінам та скороченням</w:t>
      </w:r>
      <w:r w:rsidR="00217C01" w:rsidRPr="00863BF3">
        <w:rPr>
          <w:sz w:val="28"/>
          <w:szCs w:val="28"/>
        </w:rPr>
        <w:t xml:space="preserve">, </w:t>
      </w:r>
      <w:r w:rsidRPr="00863BF3">
        <w:rPr>
          <w:sz w:val="28"/>
          <w:szCs w:val="28"/>
        </w:rPr>
        <w:t xml:space="preserve">визначеним у </w:t>
      </w:r>
      <w:r w:rsidR="0039267A" w:rsidRPr="00863BF3">
        <w:rPr>
          <w:sz w:val="28"/>
          <w:szCs w:val="28"/>
        </w:rPr>
        <w:t xml:space="preserve">Положенні </w:t>
      </w:r>
      <w:r w:rsidR="006B59C5" w:rsidRPr="00863BF3">
        <w:rPr>
          <w:sz w:val="28"/>
          <w:szCs w:val="28"/>
        </w:rPr>
        <w:t>№ 89</w:t>
      </w:r>
      <w:r w:rsidR="00920CCC">
        <w:rPr>
          <w:sz w:val="28"/>
          <w:szCs w:val="28"/>
        </w:rPr>
        <w:t xml:space="preserve">. </w:t>
      </w:r>
    </w:p>
    <w:p w14:paraId="6199C3F7" w14:textId="3EEEAEF8" w:rsidR="007A190C" w:rsidRPr="00ED5219" w:rsidRDefault="001321D8" w:rsidP="00920CCC">
      <w:pPr>
        <w:pStyle w:val="af1"/>
        <w:spacing w:before="0" w:beforeAutospacing="0" w:after="0" w:afterAutospacing="0"/>
        <w:ind w:firstLine="709"/>
        <w:jc w:val="both"/>
        <w:rPr>
          <w:rFonts w:eastAsia="Times New Roman"/>
          <w:sz w:val="28"/>
          <w:szCs w:val="28"/>
        </w:rPr>
      </w:pPr>
      <w:r w:rsidRPr="00ED5219">
        <w:rPr>
          <w:sz w:val="28"/>
          <w:szCs w:val="28"/>
        </w:rPr>
        <w:t xml:space="preserve">2. </w:t>
      </w:r>
      <w:r w:rsidR="00005307" w:rsidRPr="00ED5219">
        <w:rPr>
          <w:sz w:val="28"/>
          <w:szCs w:val="28"/>
        </w:rPr>
        <w:t xml:space="preserve">Банк </w:t>
      </w:r>
      <w:r w:rsidR="00D8567B">
        <w:rPr>
          <w:sz w:val="28"/>
          <w:szCs w:val="28"/>
        </w:rPr>
        <w:t>заповнює</w:t>
      </w:r>
      <w:r w:rsidR="00ED5219">
        <w:rPr>
          <w:sz w:val="28"/>
          <w:szCs w:val="28"/>
        </w:rPr>
        <w:t xml:space="preserve"> </w:t>
      </w:r>
      <w:r w:rsidR="00005307" w:rsidRPr="00ED5219">
        <w:rPr>
          <w:sz w:val="28"/>
          <w:szCs w:val="28"/>
        </w:rPr>
        <w:t xml:space="preserve">показники файлу </w:t>
      </w:r>
      <w:r w:rsidR="006B59C5" w:rsidRPr="00ED5219">
        <w:rPr>
          <w:rFonts w:eastAsia="Times New Roman"/>
          <w:sz w:val="28"/>
          <w:szCs w:val="28"/>
        </w:rPr>
        <w:t>6</w:t>
      </w:r>
      <w:r w:rsidR="006252F5" w:rsidRPr="00ED5219">
        <w:rPr>
          <w:rFonts w:eastAsia="Times New Roman"/>
          <w:sz w:val="28"/>
          <w:szCs w:val="28"/>
          <w:lang w:val="en-US"/>
        </w:rPr>
        <w:t>JX</w:t>
      </w:r>
      <w:r w:rsidR="00763E54" w:rsidRPr="00ED5219">
        <w:rPr>
          <w:rFonts w:eastAsia="Times New Roman"/>
          <w:sz w:val="28"/>
          <w:szCs w:val="28"/>
        </w:rPr>
        <w:t xml:space="preserve"> відповідно до встановлених цими Правилами вимог, </w:t>
      </w:r>
      <w:r w:rsidR="00016B3F" w:rsidRPr="00ED5219">
        <w:rPr>
          <w:rFonts w:eastAsia="Times New Roman"/>
          <w:sz w:val="28"/>
          <w:szCs w:val="28"/>
        </w:rPr>
        <w:t>ґрунтуючись</w:t>
      </w:r>
      <w:r w:rsidR="007D1BFC" w:rsidRPr="00ED5219">
        <w:rPr>
          <w:rFonts w:eastAsia="Times New Roman"/>
          <w:sz w:val="28"/>
          <w:szCs w:val="28"/>
        </w:rPr>
        <w:t xml:space="preserve"> на даних</w:t>
      </w:r>
      <w:r w:rsidR="00293E10" w:rsidRPr="00ED5219">
        <w:rPr>
          <w:rFonts w:eastAsia="Times New Roman"/>
          <w:sz w:val="28"/>
          <w:szCs w:val="28"/>
        </w:rPr>
        <w:t xml:space="preserve"> </w:t>
      </w:r>
      <w:r w:rsidR="00A4270A" w:rsidRPr="00ED5219">
        <w:rPr>
          <w:rFonts w:eastAsia="Times New Roman"/>
          <w:sz w:val="28"/>
          <w:szCs w:val="28"/>
        </w:rPr>
        <w:t>файлу</w:t>
      </w:r>
      <w:r w:rsidRPr="00ED5219">
        <w:rPr>
          <w:rFonts w:eastAsia="Times New Roman"/>
          <w:sz w:val="28"/>
          <w:szCs w:val="28"/>
        </w:rPr>
        <w:t xml:space="preserve"> з показниками статистичної звітності 01Х </w:t>
      </w:r>
      <w:r w:rsidR="006062EF" w:rsidRPr="00ED5219">
        <w:rPr>
          <w:rFonts w:eastAsia="Times New Roman"/>
          <w:sz w:val="28"/>
          <w:szCs w:val="28"/>
        </w:rPr>
        <w:t>“Дані про залишки на рахунках”</w:t>
      </w:r>
      <w:r w:rsidR="006A21A9" w:rsidRPr="00ED5219">
        <w:rPr>
          <w:rFonts w:eastAsia="Times New Roman"/>
          <w:sz w:val="28"/>
          <w:szCs w:val="28"/>
        </w:rPr>
        <w:t xml:space="preserve"> та додаткових да</w:t>
      </w:r>
      <w:r w:rsidR="005100FB" w:rsidRPr="00ED5219">
        <w:rPr>
          <w:rFonts w:eastAsia="Times New Roman"/>
          <w:sz w:val="28"/>
          <w:szCs w:val="28"/>
        </w:rPr>
        <w:t>н</w:t>
      </w:r>
      <w:r w:rsidR="006A21A9" w:rsidRPr="00ED5219">
        <w:rPr>
          <w:rFonts w:eastAsia="Times New Roman"/>
          <w:sz w:val="28"/>
          <w:szCs w:val="28"/>
        </w:rPr>
        <w:t>их</w:t>
      </w:r>
      <w:r w:rsidR="006062EF" w:rsidRPr="00ED5219">
        <w:rPr>
          <w:rFonts w:eastAsia="Times New Roman"/>
          <w:sz w:val="28"/>
          <w:szCs w:val="28"/>
        </w:rPr>
        <w:t>.</w:t>
      </w:r>
    </w:p>
    <w:p w14:paraId="1D4A4CFB" w14:textId="529F6067" w:rsidR="009C4D3B" w:rsidRPr="006A6C3E" w:rsidRDefault="009C4D3B" w:rsidP="00920CCC">
      <w:pPr>
        <w:pStyle w:val="af1"/>
        <w:spacing w:before="0" w:beforeAutospacing="0" w:after="0" w:afterAutospacing="0"/>
        <w:ind w:firstLine="709"/>
        <w:jc w:val="both"/>
        <w:rPr>
          <w:rFonts w:eastAsia="Times New Roman"/>
          <w:sz w:val="28"/>
          <w:szCs w:val="28"/>
          <w:lang w:val="ru-RU"/>
        </w:rPr>
      </w:pPr>
      <w:r w:rsidRPr="00863BF3">
        <w:rPr>
          <w:rFonts w:eastAsia="Times New Roman"/>
          <w:sz w:val="28"/>
          <w:szCs w:val="28"/>
        </w:rPr>
        <w:t>3. До показників</w:t>
      </w:r>
      <w:r w:rsidR="00E24A26" w:rsidRPr="00863BF3">
        <w:rPr>
          <w:rFonts w:eastAsia="Times New Roman"/>
          <w:sz w:val="28"/>
          <w:szCs w:val="28"/>
        </w:rPr>
        <w:t xml:space="preserve"> </w:t>
      </w:r>
      <w:r w:rsidR="00D45966" w:rsidRPr="00863BF3">
        <w:rPr>
          <w:rFonts w:eastAsia="Times New Roman"/>
          <w:sz w:val="28"/>
          <w:szCs w:val="28"/>
        </w:rPr>
        <w:t>A6</w:t>
      </w:r>
      <w:r w:rsidR="004356C8">
        <w:rPr>
          <w:rFonts w:eastAsia="Times New Roman"/>
          <w:sz w:val="28"/>
          <w:szCs w:val="28"/>
        </w:rPr>
        <w:t>J</w:t>
      </w:r>
      <w:r w:rsidR="001356B6" w:rsidRPr="00863BF3">
        <w:rPr>
          <w:rFonts w:eastAsia="Times New Roman"/>
          <w:sz w:val="28"/>
          <w:szCs w:val="28"/>
        </w:rPr>
        <w:t>02</w:t>
      </w:r>
      <w:r w:rsidR="004356C8">
        <w:rPr>
          <w:rFonts w:eastAsia="Times New Roman"/>
          <w:sz w:val="28"/>
          <w:szCs w:val="28"/>
        </w:rPr>
        <w:t>6</w:t>
      </w:r>
      <w:r w:rsidR="00D45966" w:rsidRPr="00863BF3">
        <w:rPr>
          <w:rFonts w:eastAsia="Times New Roman"/>
          <w:sz w:val="28"/>
          <w:szCs w:val="28"/>
        </w:rPr>
        <w:t>-A6</w:t>
      </w:r>
      <w:r w:rsidR="004356C8">
        <w:rPr>
          <w:rFonts w:eastAsia="Times New Roman"/>
          <w:sz w:val="28"/>
          <w:szCs w:val="28"/>
        </w:rPr>
        <w:t>J033</w:t>
      </w:r>
      <w:r w:rsidRPr="00863BF3">
        <w:rPr>
          <w:rFonts w:eastAsia="Times New Roman"/>
          <w:sz w:val="28"/>
          <w:szCs w:val="28"/>
        </w:rPr>
        <w:t xml:space="preserve"> включається сукупний розмір фінансових зобов’язань </w:t>
      </w:r>
      <w:r w:rsidRPr="006A6C3E">
        <w:rPr>
          <w:rFonts w:eastAsia="Times New Roman"/>
          <w:sz w:val="28"/>
          <w:szCs w:val="28"/>
        </w:rPr>
        <w:t>із застосуванням значення коефіцієнта кредитної конверсії, визначеного  </w:t>
      </w:r>
      <w:r w:rsidR="00052A83" w:rsidRPr="006A6C3E">
        <w:rPr>
          <w:rFonts w:eastAsia="Times New Roman"/>
          <w:sz w:val="28"/>
          <w:szCs w:val="28"/>
        </w:rPr>
        <w:t>згідно з додатком 5 до</w:t>
      </w:r>
      <w:r w:rsidRPr="006A6C3E">
        <w:rPr>
          <w:rFonts w:eastAsia="Times New Roman"/>
          <w:sz w:val="28"/>
          <w:szCs w:val="28"/>
        </w:rPr>
        <w:t xml:space="preserve">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w:t>
      </w:r>
      <w:r w:rsidR="00D45966" w:rsidRPr="006A6C3E">
        <w:rPr>
          <w:rFonts w:eastAsia="Times New Roman"/>
          <w:sz w:val="28"/>
          <w:szCs w:val="28"/>
        </w:rPr>
        <w:t>ого банку України від 30.06.2016</w:t>
      </w:r>
      <w:r w:rsidR="00701A4B" w:rsidRPr="006A6C3E">
        <w:rPr>
          <w:rFonts w:eastAsia="Times New Roman"/>
          <w:sz w:val="28"/>
          <w:szCs w:val="28"/>
        </w:rPr>
        <w:t xml:space="preserve"> № </w:t>
      </w:r>
      <w:r w:rsidRPr="006A6C3E">
        <w:rPr>
          <w:rFonts w:eastAsia="Times New Roman"/>
          <w:sz w:val="28"/>
          <w:szCs w:val="28"/>
        </w:rPr>
        <w:t>351 (зі змінами)</w:t>
      </w:r>
      <w:r w:rsidR="00411DB9" w:rsidRPr="006A6C3E">
        <w:rPr>
          <w:rFonts w:eastAsia="Times New Roman"/>
          <w:sz w:val="28"/>
          <w:szCs w:val="28"/>
        </w:rPr>
        <w:t xml:space="preserve">, з урахуванням особливостей, </w:t>
      </w:r>
      <w:r w:rsidR="005035B9" w:rsidRPr="006A6C3E">
        <w:rPr>
          <w:rFonts w:eastAsia="Times New Roman"/>
          <w:sz w:val="28"/>
          <w:szCs w:val="28"/>
        </w:rPr>
        <w:t>установлених</w:t>
      </w:r>
      <w:r w:rsidR="00411DB9" w:rsidRPr="006A6C3E">
        <w:rPr>
          <w:rFonts w:eastAsia="Times New Roman"/>
          <w:sz w:val="28"/>
          <w:szCs w:val="28"/>
        </w:rPr>
        <w:t xml:space="preserve"> пунктом 44 розділу </w:t>
      </w:r>
      <w:r w:rsidR="00411DB9" w:rsidRPr="006A6C3E">
        <w:rPr>
          <w:rFonts w:eastAsia="Times New Roman"/>
          <w:sz w:val="28"/>
          <w:szCs w:val="28"/>
          <w:lang w:val="en-US"/>
        </w:rPr>
        <w:t>V</w:t>
      </w:r>
      <w:r w:rsidR="00411DB9" w:rsidRPr="006A6C3E">
        <w:rPr>
          <w:rFonts w:eastAsia="Times New Roman"/>
          <w:sz w:val="28"/>
          <w:szCs w:val="28"/>
          <w:lang w:val="ru-RU"/>
        </w:rPr>
        <w:t xml:space="preserve"> </w:t>
      </w:r>
      <w:r w:rsidR="00411DB9" w:rsidRPr="006A6C3E">
        <w:rPr>
          <w:rFonts w:eastAsia="Times New Roman"/>
          <w:sz w:val="28"/>
          <w:szCs w:val="28"/>
        </w:rPr>
        <w:t>Положення № 89</w:t>
      </w:r>
      <w:r w:rsidR="005035B9" w:rsidRPr="006A6C3E">
        <w:rPr>
          <w:rFonts w:eastAsia="Times New Roman"/>
          <w:sz w:val="28"/>
          <w:szCs w:val="28"/>
        </w:rPr>
        <w:t>.</w:t>
      </w:r>
    </w:p>
    <w:p w14:paraId="5D289839" w14:textId="63F2C190" w:rsidR="00E63AD9" w:rsidRDefault="00411DB9" w:rsidP="00920CCC">
      <w:pPr>
        <w:spacing w:after="0" w:line="240" w:lineRule="auto"/>
        <w:ind w:firstLine="709"/>
        <w:jc w:val="both"/>
        <w:rPr>
          <w:rFonts w:ascii="Times New Roman" w:eastAsiaTheme="minorEastAsia" w:hAnsi="Times New Roman" w:cs="Times New Roman"/>
          <w:sz w:val="28"/>
          <w:szCs w:val="28"/>
          <w:lang w:val="ru-RU" w:eastAsia="uk-UA"/>
        </w:rPr>
      </w:pPr>
      <w:r w:rsidRPr="006A6C3E">
        <w:rPr>
          <w:rFonts w:ascii="Times New Roman" w:hAnsi="Times New Roman" w:cs="Times New Roman"/>
          <w:bCs/>
          <w:sz w:val="28"/>
          <w:szCs w:val="28"/>
          <w:lang w:eastAsia="uk-UA"/>
        </w:rPr>
        <w:t>4</w:t>
      </w:r>
      <w:r w:rsidR="00E63AD9" w:rsidRPr="006A6C3E">
        <w:rPr>
          <w:rFonts w:ascii="Times New Roman" w:hAnsi="Times New Roman" w:cs="Times New Roman"/>
          <w:bCs/>
          <w:sz w:val="28"/>
          <w:szCs w:val="28"/>
          <w:lang w:eastAsia="uk-UA"/>
        </w:rPr>
        <w:t xml:space="preserve">. Банк </w:t>
      </w:r>
      <w:r w:rsidR="00E63AD9" w:rsidRPr="00D8567B">
        <w:rPr>
          <w:rFonts w:ascii="Times New Roman" w:hAnsi="Times New Roman" w:cs="Times New Roman"/>
          <w:bCs/>
          <w:sz w:val="28"/>
          <w:szCs w:val="28"/>
          <w:lang w:eastAsia="uk-UA"/>
        </w:rPr>
        <w:t>розраховує</w:t>
      </w:r>
      <w:r w:rsidR="00D8567B">
        <w:rPr>
          <w:rFonts w:ascii="Times New Roman" w:hAnsi="Times New Roman" w:cs="Times New Roman"/>
          <w:bCs/>
          <w:sz w:val="28"/>
          <w:szCs w:val="28"/>
          <w:lang w:eastAsia="uk-UA"/>
        </w:rPr>
        <w:t xml:space="preserve"> дані для заповнення</w:t>
      </w:r>
      <w:r w:rsidR="00E63AD9" w:rsidRPr="006A6C3E">
        <w:rPr>
          <w:rFonts w:ascii="Times New Roman" w:hAnsi="Times New Roman" w:cs="Times New Roman"/>
          <w:bCs/>
          <w:sz w:val="28"/>
          <w:szCs w:val="28"/>
          <w:lang w:eastAsia="uk-UA"/>
        </w:rPr>
        <w:t xml:space="preserve"> п</w:t>
      </w:r>
      <w:r w:rsidR="00EF731D" w:rsidRPr="006A6C3E">
        <w:rPr>
          <w:rFonts w:ascii="Times New Roman" w:eastAsiaTheme="minorEastAsia" w:hAnsi="Times New Roman" w:cs="Times New Roman"/>
          <w:sz w:val="28"/>
          <w:szCs w:val="28"/>
          <w:lang w:eastAsia="uk-UA"/>
        </w:rPr>
        <w:t>оказник</w:t>
      </w:r>
      <w:r w:rsidR="00D8567B">
        <w:rPr>
          <w:rFonts w:ascii="Times New Roman" w:eastAsiaTheme="minorEastAsia" w:hAnsi="Times New Roman" w:cs="Times New Roman"/>
          <w:sz w:val="28"/>
          <w:szCs w:val="28"/>
          <w:lang w:eastAsia="uk-UA"/>
        </w:rPr>
        <w:t>ів</w:t>
      </w:r>
      <w:r w:rsidR="00EF731D" w:rsidRPr="006A6C3E">
        <w:rPr>
          <w:rFonts w:ascii="Times New Roman" w:eastAsiaTheme="minorEastAsia" w:hAnsi="Times New Roman" w:cs="Times New Roman"/>
          <w:sz w:val="28"/>
          <w:szCs w:val="28"/>
          <w:lang w:eastAsia="uk-UA"/>
        </w:rPr>
        <w:t xml:space="preserve"> файлу</w:t>
      </w:r>
      <w:r w:rsidR="00E63AD9" w:rsidRPr="006A6C3E">
        <w:rPr>
          <w:rFonts w:ascii="Times New Roman" w:eastAsiaTheme="minorEastAsia" w:hAnsi="Times New Roman" w:cs="Times New Roman"/>
          <w:sz w:val="28"/>
          <w:szCs w:val="28"/>
          <w:lang w:eastAsia="uk-UA"/>
        </w:rPr>
        <w:t xml:space="preserve"> </w:t>
      </w:r>
      <w:r w:rsidR="00362213" w:rsidRPr="006A6C3E">
        <w:rPr>
          <w:rFonts w:ascii="Times New Roman" w:hAnsi="Times New Roman" w:cs="Times New Roman"/>
          <w:sz w:val="28"/>
          <w:szCs w:val="28"/>
          <w:lang w:eastAsia="uk-UA"/>
        </w:rPr>
        <w:t>6</w:t>
      </w:r>
      <w:r w:rsidR="006252F5" w:rsidRPr="006A6C3E">
        <w:rPr>
          <w:rFonts w:ascii="Times New Roman" w:hAnsi="Times New Roman" w:cs="Times New Roman"/>
          <w:sz w:val="28"/>
          <w:szCs w:val="28"/>
          <w:lang w:val="en-US" w:eastAsia="uk-UA"/>
        </w:rPr>
        <w:t>JX</w:t>
      </w:r>
      <w:r w:rsidR="00E63AD9" w:rsidRPr="006A6C3E">
        <w:rPr>
          <w:rFonts w:ascii="Times New Roman" w:hAnsi="Times New Roman" w:cs="Times New Roman"/>
          <w:sz w:val="28"/>
          <w:szCs w:val="28"/>
          <w:lang w:eastAsia="uk-UA"/>
        </w:rPr>
        <w:t xml:space="preserve"> </w:t>
      </w:r>
      <w:r w:rsidR="00E63AD9" w:rsidRPr="006A6C3E">
        <w:rPr>
          <w:rFonts w:ascii="Times New Roman" w:eastAsiaTheme="minorEastAsia" w:hAnsi="Times New Roman" w:cs="Times New Roman"/>
          <w:sz w:val="28"/>
          <w:szCs w:val="28"/>
          <w:lang w:eastAsia="uk-UA"/>
        </w:rPr>
        <w:t>з урахуванням вимог</w:t>
      </w:r>
      <w:r w:rsidR="001140E5" w:rsidRPr="006A6C3E">
        <w:rPr>
          <w:rFonts w:ascii="Times New Roman" w:eastAsiaTheme="minorEastAsia" w:hAnsi="Times New Roman" w:cs="Times New Roman"/>
          <w:sz w:val="28"/>
          <w:szCs w:val="28"/>
          <w:lang w:val="ru-RU" w:eastAsia="uk-UA"/>
        </w:rPr>
        <w:t xml:space="preserve"> </w:t>
      </w:r>
      <w:r w:rsidR="00214666">
        <w:rPr>
          <w:rFonts w:ascii="Times New Roman" w:eastAsiaTheme="minorEastAsia" w:hAnsi="Times New Roman" w:cs="Times New Roman"/>
          <w:sz w:val="28"/>
          <w:szCs w:val="28"/>
          <w:lang w:eastAsia="uk-UA"/>
        </w:rPr>
        <w:t>Положення </w:t>
      </w:r>
      <w:r w:rsidR="001140E5" w:rsidRPr="006A6C3E">
        <w:rPr>
          <w:rFonts w:ascii="Times New Roman" w:eastAsiaTheme="minorEastAsia" w:hAnsi="Times New Roman" w:cs="Times New Roman"/>
          <w:sz w:val="28"/>
          <w:szCs w:val="28"/>
          <w:lang w:eastAsia="uk-UA"/>
        </w:rPr>
        <w:t>№ 89</w:t>
      </w:r>
      <w:r w:rsidR="001140E5" w:rsidRPr="006A6C3E">
        <w:rPr>
          <w:rFonts w:ascii="Times New Roman" w:eastAsiaTheme="minorEastAsia" w:hAnsi="Times New Roman" w:cs="Times New Roman"/>
          <w:sz w:val="28"/>
          <w:szCs w:val="28"/>
          <w:lang w:val="ru-RU" w:eastAsia="uk-UA"/>
        </w:rPr>
        <w:t>.</w:t>
      </w:r>
    </w:p>
    <w:p w14:paraId="47DBFC5A" w14:textId="77777777" w:rsidR="00BD3282" w:rsidRPr="00BD3282" w:rsidRDefault="00BD3282" w:rsidP="00920CCC">
      <w:pPr>
        <w:spacing w:after="0" w:line="240" w:lineRule="auto"/>
        <w:ind w:firstLine="709"/>
        <w:jc w:val="both"/>
        <w:rPr>
          <w:rFonts w:ascii="Times New Roman" w:hAnsi="Times New Roman" w:cs="Times New Roman"/>
          <w:bCs/>
          <w:sz w:val="28"/>
          <w:szCs w:val="28"/>
          <w:lang w:eastAsia="uk-UA"/>
        </w:rPr>
      </w:pPr>
      <w:r w:rsidRPr="00BD3282">
        <w:rPr>
          <w:rFonts w:ascii="Times New Roman" w:hAnsi="Times New Roman" w:cs="Times New Roman"/>
          <w:bCs/>
          <w:sz w:val="28"/>
          <w:szCs w:val="28"/>
          <w:lang w:eastAsia="uk-UA"/>
        </w:rPr>
        <w:t xml:space="preserve">5. Банк для заповнення показників файла 6JX визначає розмір експозицій за активом (крім деривативу) як такий, що дорівнює нулю, якщо балансова вартість активу без урахування сукупного розміру очікуваних збитків є меншою, ніж цей сукупний розмір очікуваних збитків. </w:t>
      </w:r>
    </w:p>
    <w:p w14:paraId="5D6CE408" w14:textId="042A5342" w:rsidR="00BD3282" w:rsidRPr="00BD3282" w:rsidRDefault="00BD3282" w:rsidP="00920CCC">
      <w:pPr>
        <w:tabs>
          <w:tab w:val="left" w:pos="390"/>
        </w:tabs>
        <w:spacing w:after="0" w:line="240" w:lineRule="auto"/>
        <w:ind w:firstLine="709"/>
        <w:jc w:val="both"/>
        <w:rPr>
          <w:rFonts w:ascii="Times New Roman" w:hAnsi="Times New Roman" w:cs="Times New Roman"/>
          <w:bCs/>
          <w:sz w:val="28"/>
          <w:szCs w:val="28"/>
          <w:lang w:eastAsia="uk-UA"/>
        </w:rPr>
      </w:pPr>
      <w:r w:rsidRPr="00BD3282">
        <w:rPr>
          <w:rFonts w:ascii="Times New Roman" w:hAnsi="Times New Roman" w:cs="Times New Roman"/>
          <w:bCs/>
          <w:sz w:val="28"/>
          <w:szCs w:val="28"/>
          <w:lang w:eastAsia="uk-UA"/>
        </w:rPr>
        <w:t>До сукупного розміру очікуваних збитків включаються розмір резервів за активними банківськими операціями, сформованих відповідно до вимог МСФЗ, розмір уцінки фінансових активів, що оцінюються за справедливою вартістю, та розмір очікуваних кредитних збитків, які відповідно до нормативно-правового акта Національного банку України з питань бухгалтерського обліку фінансових інструментів відображаються за окремими аналітичними рахунками дисконтів, якщо такі кредитні збитки не обліковуються за рахунками резервів.</w:t>
      </w:r>
    </w:p>
    <w:p w14:paraId="04D14FEE" w14:textId="09856C2E" w:rsidR="008E3C62" w:rsidRPr="00D8567B" w:rsidRDefault="00F87346" w:rsidP="00920CCC">
      <w:pPr>
        <w:spacing w:after="0" w:line="240" w:lineRule="auto"/>
        <w:ind w:firstLine="709"/>
        <w:jc w:val="both"/>
        <w:rPr>
          <w:rFonts w:ascii="Times New Roman" w:eastAsiaTheme="minorEastAsia" w:hAnsi="Times New Roman" w:cs="Times New Roman"/>
          <w:sz w:val="28"/>
          <w:szCs w:val="28"/>
          <w:lang w:val="ru-RU" w:eastAsia="uk-UA"/>
        </w:rPr>
      </w:pPr>
      <w:r>
        <w:rPr>
          <w:rFonts w:ascii="Times New Roman" w:eastAsiaTheme="minorEastAsia" w:hAnsi="Times New Roman" w:cs="Times New Roman"/>
          <w:sz w:val="28"/>
          <w:szCs w:val="28"/>
          <w:lang w:val="ru-RU" w:eastAsia="uk-UA"/>
        </w:rPr>
        <w:t>6</w:t>
      </w:r>
      <w:r w:rsidR="008E3C62" w:rsidRPr="00D8567B">
        <w:rPr>
          <w:rFonts w:ascii="Times New Roman" w:eastAsiaTheme="minorEastAsia" w:hAnsi="Times New Roman" w:cs="Times New Roman"/>
          <w:sz w:val="28"/>
          <w:szCs w:val="28"/>
          <w:lang w:val="ru-RU" w:eastAsia="uk-UA"/>
        </w:rPr>
        <w:t xml:space="preserve">. За показниками </w:t>
      </w:r>
      <w:r w:rsidR="008E3C62" w:rsidRPr="00D8567B">
        <w:rPr>
          <w:rFonts w:ascii="Times New Roman" w:eastAsiaTheme="minorEastAsia" w:hAnsi="Times New Roman" w:cs="Times New Roman"/>
          <w:sz w:val="28"/>
          <w:szCs w:val="28"/>
          <w:lang w:eastAsia="uk-UA"/>
        </w:rPr>
        <w:t xml:space="preserve">файлу </w:t>
      </w:r>
      <w:r w:rsidR="008E3C62" w:rsidRPr="00D8567B">
        <w:rPr>
          <w:rFonts w:ascii="Times New Roman" w:hAnsi="Times New Roman" w:cs="Times New Roman"/>
          <w:sz w:val="28"/>
          <w:szCs w:val="28"/>
          <w:lang w:eastAsia="uk-UA"/>
        </w:rPr>
        <w:t>6</w:t>
      </w:r>
      <w:r w:rsidR="008E3C62" w:rsidRPr="00D8567B">
        <w:rPr>
          <w:rFonts w:ascii="Times New Roman" w:hAnsi="Times New Roman" w:cs="Times New Roman"/>
          <w:sz w:val="28"/>
          <w:szCs w:val="28"/>
          <w:lang w:val="en-US" w:eastAsia="uk-UA"/>
        </w:rPr>
        <w:t>JX</w:t>
      </w:r>
      <w:r w:rsidR="008E3C62" w:rsidRPr="00D8567B">
        <w:rPr>
          <w:rFonts w:ascii="Times New Roman" w:hAnsi="Times New Roman" w:cs="Times New Roman"/>
          <w:sz w:val="28"/>
          <w:szCs w:val="28"/>
          <w:lang w:eastAsia="uk-UA"/>
        </w:rPr>
        <w:t xml:space="preserve">, за якими відсутні </w:t>
      </w:r>
      <w:r w:rsidR="00103041" w:rsidRPr="00D8567B">
        <w:rPr>
          <w:rFonts w:ascii="Times New Roman" w:hAnsi="Times New Roman" w:cs="Times New Roman"/>
          <w:sz w:val="28"/>
          <w:szCs w:val="28"/>
          <w:lang w:eastAsia="uk-UA"/>
        </w:rPr>
        <w:t xml:space="preserve">дані, зазначається </w:t>
      </w:r>
      <w:r w:rsidR="003352D1" w:rsidRPr="00D8567B">
        <w:rPr>
          <w:rFonts w:ascii="Times New Roman" w:hAnsi="Times New Roman" w:cs="Times New Roman"/>
          <w:sz w:val="28"/>
          <w:szCs w:val="28"/>
          <w:lang w:eastAsia="uk-UA"/>
        </w:rPr>
        <w:t xml:space="preserve">значення </w:t>
      </w:r>
      <w:r w:rsidR="003352D1" w:rsidRPr="00D8567B">
        <w:rPr>
          <w:rFonts w:ascii="Times New Roman" w:hAnsi="Times New Roman" w:cs="Times New Roman"/>
          <w:sz w:val="28"/>
          <w:szCs w:val="28"/>
          <w:lang w:val="ru-RU" w:eastAsia="uk-UA"/>
        </w:rPr>
        <w:t>“0”.</w:t>
      </w:r>
    </w:p>
    <w:p w14:paraId="000A245A" w14:textId="5E93E1F9" w:rsidR="00EA548C" w:rsidRPr="006A6C3E" w:rsidRDefault="00EA548C" w:rsidP="00920CCC">
      <w:pPr>
        <w:spacing w:before="120" w:after="120" w:line="240" w:lineRule="auto"/>
        <w:ind w:firstLine="709"/>
        <w:jc w:val="center"/>
        <w:rPr>
          <w:rFonts w:ascii="Times New Roman" w:hAnsi="Times New Roman" w:cs="Times New Roman"/>
        </w:rPr>
      </w:pPr>
      <w:r w:rsidRPr="006A6C3E">
        <w:rPr>
          <w:rFonts w:ascii="Times New Roman" w:eastAsia="Times New Roman" w:hAnsi="Times New Roman" w:cs="Times New Roman"/>
          <w:b/>
          <w:sz w:val="28"/>
          <w:szCs w:val="28"/>
          <w:u w:val="single"/>
          <w:lang w:eastAsia="uk-UA"/>
        </w:rPr>
        <w:t xml:space="preserve">Особливості </w:t>
      </w:r>
      <w:r w:rsidRPr="006A6C3E">
        <w:rPr>
          <w:rFonts w:ascii="Times New Roman" w:eastAsia="Times New Roman" w:hAnsi="Times New Roman" w:cs="Times New Roman"/>
          <w:b/>
          <w:sz w:val="28"/>
          <w:szCs w:val="28"/>
          <w:u w:val="single"/>
          <w:lang w:val="ru-RU" w:eastAsia="uk-UA"/>
        </w:rPr>
        <w:t xml:space="preserve">правил </w:t>
      </w:r>
      <w:r w:rsidRPr="006A6C3E">
        <w:rPr>
          <w:rFonts w:ascii="Times New Roman" w:eastAsia="Times New Roman" w:hAnsi="Times New Roman" w:cs="Times New Roman"/>
          <w:b/>
          <w:sz w:val="28"/>
          <w:szCs w:val="28"/>
          <w:u w:val="single"/>
          <w:lang w:eastAsia="uk-UA"/>
        </w:rPr>
        <w:t xml:space="preserve">формування </w:t>
      </w:r>
      <w:r w:rsidR="00163894">
        <w:rPr>
          <w:rFonts w:ascii="Times New Roman" w:eastAsia="Times New Roman" w:hAnsi="Times New Roman" w:cs="Times New Roman"/>
          <w:b/>
          <w:sz w:val="28"/>
          <w:szCs w:val="28"/>
          <w:u w:val="single"/>
          <w:lang w:eastAsia="uk-UA"/>
        </w:rPr>
        <w:t>п</w:t>
      </w:r>
      <w:r w:rsidRPr="006A6C3E">
        <w:rPr>
          <w:rFonts w:ascii="Times New Roman" w:eastAsia="Times New Roman" w:hAnsi="Times New Roman" w:cs="Times New Roman"/>
          <w:b/>
          <w:sz w:val="28"/>
          <w:szCs w:val="28"/>
          <w:u w:val="single"/>
          <w:lang w:eastAsia="uk-UA"/>
        </w:rPr>
        <w:t>оказників</w:t>
      </w:r>
    </w:p>
    <w:p w14:paraId="12721C5A" w14:textId="42D73244" w:rsidR="00000066" w:rsidRPr="006A6C3E" w:rsidRDefault="00000066" w:rsidP="00D34C8A">
      <w:pPr>
        <w:spacing w:after="0" w:line="240" w:lineRule="auto"/>
        <w:ind w:firstLine="709"/>
        <w:jc w:val="center"/>
        <w:rPr>
          <w:rFonts w:ascii="Times New Roman" w:eastAsia="Times New Roman" w:hAnsi="Times New Roman" w:cs="Times New Roman"/>
          <w:b/>
          <w:sz w:val="28"/>
          <w:szCs w:val="28"/>
          <w:u w:val="single"/>
          <w:lang w:eastAsia="uk-UA"/>
        </w:rPr>
      </w:pPr>
      <w:r w:rsidRPr="006A6C3E">
        <w:rPr>
          <w:rFonts w:ascii="Times New Roman" w:eastAsia="Times New Roman" w:hAnsi="Times New Roman" w:cs="Times New Roman"/>
          <w:b/>
          <w:sz w:val="28"/>
          <w:szCs w:val="28"/>
          <w:u w:val="single"/>
          <w:lang w:eastAsia="uk-UA"/>
        </w:rPr>
        <w:t>Опис параметрів</w:t>
      </w:r>
    </w:p>
    <w:p w14:paraId="21E55E45" w14:textId="6CF7B386" w:rsidR="007B3F30" w:rsidRDefault="00AD7C7F" w:rsidP="00920CCC">
      <w:pPr>
        <w:spacing w:before="120" w:after="120" w:line="240" w:lineRule="auto"/>
        <w:ind w:firstLine="709"/>
        <w:jc w:val="both"/>
        <w:rPr>
          <w:rFonts w:ascii="Times New Roman" w:eastAsia="Times New Roman" w:hAnsi="Times New Roman" w:cs="Times New Roman"/>
          <w:sz w:val="28"/>
          <w:szCs w:val="28"/>
          <w:lang w:eastAsia="uk-UA"/>
        </w:rPr>
      </w:pPr>
      <w:r w:rsidRPr="006A6C3E">
        <w:rPr>
          <w:rFonts w:ascii="Times New Roman" w:eastAsia="Times New Roman" w:hAnsi="Times New Roman" w:cs="Times New Roman"/>
          <w:b/>
          <w:sz w:val="28"/>
          <w:szCs w:val="28"/>
          <w:lang w:eastAsia="uk-UA"/>
        </w:rPr>
        <w:t>Метрика Т</w:t>
      </w:r>
      <w:r w:rsidR="006F218E" w:rsidRPr="006A6C3E">
        <w:rPr>
          <w:rFonts w:ascii="Times New Roman" w:eastAsia="Times New Roman" w:hAnsi="Times New Roman" w:cs="Times New Roman"/>
          <w:b/>
          <w:sz w:val="28"/>
          <w:szCs w:val="28"/>
          <w:lang w:eastAsia="uk-UA"/>
        </w:rPr>
        <w:t>10</w:t>
      </w:r>
      <w:r w:rsidRPr="006A6C3E">
        <w:rPr>
          <w:rFonts w:ascii="Times New Roman" w:eastAsia="Times New Roman" w:hAnsi="Times New Roman" w:cs="Times New Roman"/>
          <w:b/>
          <w:sz w:val="28"/>
          <w:szCs w:val="28"/>
          <w:lang w:eastAsia="uk-UA"/>
        </w:rPr>
        <w:t xml:space="preserve">0 </w:t>
      </w:r>
      <w:r w:rsidR="006F218E" w:rsidRPr="006A6C3E">
        <w:rPr>
          <w:rFonts w:ascii="Times New Roman" w:eastAsia="Times New Roman" w:hAnsi="Times New Roman" w:cs="Times New Roman"/>
          <w:b/>
          <w:sz w:val="28"/>
          <w:szCs w:val="28"/>
          <w:lang w:eastAsia="uk-UA"/>
        </w:rPr>
        <w:t>–</w:t>
      </w:r>
      <w:r w:rsidR="00382FBA" w:rsidRPr="006A6C3E">
        <w:rPr>
          <w:rFonts w:ascii="Times New Roman" w:eastAsia="Times New Roman" w:hAnsi="Times New Roman" w:cs="Times New Roman"/>
          <w:b/>
          <w:sz w:val="28"/>
          <w:szCs w:val="28"/>
          <w:lang w:eastAsia="uk-UA"/>
        </w:rPr>
        <w:t xml:space="preserve"> </w:t>
      </w:r>
      <w:r w:rsidR="009B7308" w:rsidRPr="006A6C3E">
        <w:rPr>
          <w:rFonts w:ascii="Times New Roman" w:eastAsia="Times New Roman" w:hAnsi="Times New Roman" w:cs="Times New Roman"/>
          <w:sz w:val="28"/>
          <w:szCs w:val="28"/>
          <w:lang w:eastAsia="uk-UA"/>
        </w:rPr>
        <w:t>сума/процент</w:t>
      </w:r>
    </w:p>
    <w:p w14:paraId="668C3966" w14:textId="420BED90" w:rsidR="009B7308" w:rsidRPr="00DE62FB" w:rsidRDefault="009B7308" w:rsidP="00920CCC">
      <w:pPr>
        <w:spacing w:before="120" w:after="120" w:line="240" w:lineRule="auto"/>
        <w:ind w:firstLine="709"/>
        <w:jc w:val="both"/>
        <w:rPr>
          <w:rFonts w:ascii="Times New Roman" w:eastAsia="Times New Roman" w:hAnsi="Times New Roman" w:cs="Times New Roman"/>
          <w:sz w:val="28"/>
          <w:szCs w:val="28"/>
          <w:lang w:eastAsia="uk-UA"/>
        </w:rPr>
      </w:pPr>
      <w:r w:rsidRPr="00105213">
        <w:rPr>
          <w:rFonts w:ascii="Times New Roman" w:eastAsia="Times New Roman" w:hAnsi="Times New Roman" w:cs="Times New Roman"/>
          <w:b/>
          <w:sz w:val="28"/>
          <w:szCs w:val="28"/>
          <w:lang w:eastAsia="uk-UA"/>
        </w:rPr>
        <w:t xml:space="preserve">Параметр </w:t>
      </w:r>
      <w:r w:rsidR="00C02453" w:rsidRPr="00105213">
        <w:rPr>
          <w:rFonts w:ascii="Times New Roman" w:eastAsia="Times New Roman" w:hAnsi="Times New Roman" w:cs="Times New Roman"/>
          <w:b/>
          <w:sz w:val="28"/>
          <w:szCs w:val="28"/>
          <w:lang w:val="en-US" w:eastAsia="uk-UA"/>
        </w:rPr>
        <w:t>D</w:t>
      </w:r>
      <w:r w:rsidR="00C02453" w:rsidRPr="00105213">
        <w:rPr>
          <w:rFonts w:ascii="Times New Roman" w:eastAsia="Times New Roman" w:hAnsi="Times New Roman" w:cs="Times New Roman"/>
          <w:b/>
          <w:sz w:val="28"/>
          <w:szCs w:val="28"/>
          <w:lang w:val="ru-RU" w:eastAsia="uk-UA"/>
        </w:rPr>
        <w:t>190</w:t>
      </w:r>
      <w:r w:rsidR="00CD3B61" w:rsidRPr="00105213">
        <w:rPr>
          <w:rFonts w:ascii="Times New Roman" w:eastAsia="Times New Roman" w:hAnsi="Times New Roman" w:cs="Times New Roman"/>
          <w:b/>
          <w:sz w:val="28"/>
          <w:szCs w:val="28"/>
          <w:lang w:val="ru-RU" w:eastAsia="uk-UA"/>
        </w:rPr>
        <w:t xml:space="preserve"> </w:t>
      </w:r>
      <w:r w:rsidR="00E40738" w:rsidRPr="00105213">
        <w:rPr>
          <w:rFonts w:ascii="Times New Roman" w:eastAsia="Times New Roman" w:hAnsi="Times New Roman" w:cs="Times New Roman"/>
          <w:b/>
          <w:sz w:val="28"/>
          <w:szCs w:val="28"/>
          <w:lang w:eastAsia="uk-UA"/>
        </w:rPr>
        <w:t>–</w:t>
      </w:r>
      <w:r w:rsidR="00CD3B61" w:rsidRPr="00105213">
        <w:rPr>
          <w:rFonts w:ascii="Times New Roman" w:eastAsia="Times New Roman" w:hAnsi="Times New Roman" w:cs="Times New Roman"/>
          <w:b/>
          <w:sz w:val="28"/>
          <w:szCs w:val="28"/>
          <w:lang w:val="ru-RU" w:eastAsia="uk-UA"/>
        </w:rPr>
        <w:t xml:space="preserve"> </w:t>
      </w:r>
      <w:r w:rsidR="00E54C46" w:rsidRPr="00DE62FB">
        <w:rPr>
          <w:rFonts w:ascii="Times New Roman" w:eastAsia="Times New Roman" w:hAnsi="Times New Roman" w:cs="Times New Roman"/>
          <w:sz w:val="28"/>
          <w:szCs w:val="28"/>
          <w:lang w:val="ru-RU" w:eastAsia="uk-UA"/>
        </w:rPr>
        <w:t xml:space="preserve">вид операції з деривативами (довідник </w:t>
      </w:r>
      <w:r w:rsidR="00544AFB" w:rsidRPr="00DE62FB">
        <w:rPr>
          <w:rFonts w:ascii="Times New Roman" w:eastAsia="Times New Roman" w:hAnsi="Times New Roman" w:cs="Times New Roman"/>
          <w:sz w:val="28"/>
          <w:szCs w:val="28"/>
          <w:lang w:val="en-US" w:eastAsia="uk-UA"/>
        </w:rPr>
        <w:t>D</w:t>
      </w:r>
      <w:r w:rsidR="00544AFB" w:rsidRPr="00DE62FB">
        <w:rPr>
          <w:rFonts w:ascii="Times New Roman" w:eastAsia="Times New Roman" w:hAnsi="Times New Roman" w:cs="Times New Roman"/>
          <w:sz w:val="28"/>
          <w:szCs w:val="28"/>
          <w:lang w:val="ru-RU" w:eastAsia="uk-UA"/>
        </w:rPr>
        <w:t>190</w:t>
      </w:r>
      <w:r w:rsidR="00E54C46" w:rsidRPr="00DE62FB">
        <w:rPr>
          <w:rFonts w:ascii="Times New Roman" w:eastAsia="Times New Roman" w:hAnsi="Times New Roman" w:cs="Times New Roman"/>
          <w:sz w:val="28"/>
          <w:szCs w:val="28"/>
          <w:lang w:eastAsia="uk-UA"/>
        </w:rPr>
        <w:t>)</w:t>
      </w:r>
    </w:p>
    <w:p w14:paraId="67898210" w14:textId="682D7216" w:rsidR="009B7308" w:rsidRPr="00DE62FB" w:rsidRDefault="009B7308" w:rsidP="00920CCC">
      <w:pPr>
        <w:spacing w:before="120" w:after="120" w:line="240" w:lineRule="auto"/>
        <w:ind w:firstLine="709"/>
        <w:jc w:val="both"/>
        <w:rPr>
          <w:rFonts w:ascii="Times New Roman" w:eastAsia="Times New Roman" w:hAnsi="Times New Roman" w:cs="Times New Roman"/>
          <w:sz w:val="28"/>
          <w:szCs w:val="28"/>
          <w:lang w:val="ru-RU" w:eastAsia="uk-UA"/>
        </w:rPr>
      </w:pPr>
      <w:r w:rsidRPr="00105213">
        <w:rPr>
          <w:rFonts w:ascii="Times New Roman" w:eastAsia="Times New Roman" w:hAnsi="Times New Roman" w:cs="Times New Roman"/>
          <w:b/>
          <w:sz w:val="28"/>
          <w:szCs w:val="28"/>
          <w:lang w:eastAsia="uk-UA"/>
        </w:rPr>
        <w:t xml:space="preserve">Параметр </w:t>
      </w:r>
      <w:r w:rsidR="00CF2452" w:rsidRPr="00105213">
        <w:rPr>
          <w:rFonts w:ascii="Times New Roman" w:eastAsia="Times New Roman" w:hAnsi="Times New Roman" w:cs="Times New Roman"/>
          <w:b/>
          <w:sz w:val="28"/>
          <w:szCs w:val="28"/>
          <w:lang w:val="en-US" w:eastAsia="uk-UA"/>
        </w:rPr>
        <w:t>S</w:t>
      </w:r>
      <w:r w:rsidR="0019783D" w:rsidRPr="00105213">
        <w:rPr>
          <w:rFonts w:ascii="Times New Roman" w:eastAsia="Times New Roman" w:hAnsi="Times New Roman" w:cs="Times New Roman"/>
          <w:b/>
          <w:sz w:val="28"/>
          <w:szCs w:val="28"/>
          <w:lang w:val="ru-RU" w:eastAsia="uk-UA"/>
        </w:rPr>
        <w:t>138</w:t>
      </w:r>
      <w:r w:rsidR="00E54C46" w:rsidRPr="00105213">
        <w:rPr>
          <w:rFonts w:ascii="Times New Roman" w:eastAsia="Times New Roman" w:hAnsi="Times New Roman" w:cs="Times New Roman"/>
          <w:b/>
          <w:sz w:val="28"/>
          <w:szCs w:val="28"/>
          <w:lang w:eastAsia="uk-UA"/>
        </w:rPr>
        <w:t xml:space="preserve"> </w:t>
      </w:r>
      <w:r w:rsidR="00E40738" w:rsidRPr="00105213">
        <w:rPr>
          <w:rFonts w:ascii="Times New Roman" w:eastAsia="Times New Roman" w:hAnsi="Times New Roman" w:cs="Times New Roman"/>
          <w:b/>
          <w:sz w:val="28"/>
          <w:szCs w:val="28"/>
          <w:lang w:eastAsia="uk-UA"/>
        </w:rPr>
        <w:t>–</w:t>
      </w:r>
      <w:r w:rsidR="00E54C46" w:rsidRPr="00105213">
        <w:rPr>
          <w:rFonts w:ascii="Times New Roman" w:eastAsia="Times New Roman" w:hAnsi="Times New Roman" w:cs="Times New Roman"/>
          <w:b/>
          <w:sz w:val="28"/>
          <w:szCs w:val="28"/>
          <w:lang w:eastAsia="uk-UA"/>
        </w:rPr>
        <w:t xml:space="preserve"> </w:t>
      </w:r>
      <w:r w:rsidR="00105213" w:rsidRPr="00DE62FB">
        <w:rPr>
          <w:rFonts w:ascii="Times New Roman" w:eastAsia="Times New Roman" w:hAnsi="Times New Roman" w:cs="Times New Roman"/>
          <w:sz w:val="28"/>
          <w:szCs w:val="28"/>
          <w:lang w:val="ru-RU" w:eastAsia="uk-UA"/>
        </w:rPr>
        <w:t>вид</w:t>
      </w:r>
      <w:r w:rsidR="001A0918" w:rsidRPr="00DE62FB">
        <w:rPr>
          <w:rFonts w:ascii="Times New Roman" w:eastAsia="Times New Roman" w:hAnsi="Times New Roman" w:cs="Times New Roman"/>
          <w:sz w:val="28"/>
          <w:szCs w:val="28"/>
          <w:lang w:val="ru-RU" w:eastAsia="uk-UA"/>
        </w:rPr>
        <w:t xml:space="preserve"> </w:t>
      </w:r>
      <w:r w:rsidR="00105213" w:rsidRPr="00DE62FB">
        <w:rPr>
          <w:rFonts w:ascii="Times New Roman" w:eastAsia="Times New Roman" w:hAnsi="Times New Roman" w:cs="Times New Roman"/>
          <w:sz w:val="28"/>
          <w:szCs w:val="28"/>
          <w:lang w:eastAsia="uk-UA"/>
        </w:rPr>
        <w:t>деривативу</w:t>
      </w:r>
      <w:r w:rsidR="00E54C46" w:rsidRPr="00DE62FB">
        <w:rPr>
          <w:rFonts w:ascii="Times New Roman" w:eastAsia="Times New Roman" w:hAnsi="Times New Roman" w:cs="Times New Roman"/>
          <w:sz w:val="28"/>
          <w:szCs w:val="28"/>
          <w:lang w:eastAsia="uk-UA"/>
        </w:rPr>
        <w:t xml:space="preserve"> </w:t>
      </w:r>
      <w:r w:rsidR="00E54C46" w:rsidRPr="00DE62FB">
        <w:rPr>
          <w:rFonts w:ascii="Times New Roman" w:eastAsia="Times New Roman" w:hAnsi="Times New Roman" w:cs="Times New Roman"/>
          <w:sz w:val="28"/>
          <w:szCs w:val="28"/>
          <w:lang w:val="ru-RU" w:eastAsia="uk-UA"/>
        </w:rPr>
        <w:t xml:space="preserve">(довідник </w:t>
      </w:r>
      <w:r w:rsidR="00BB1F99" w:rsidRPr="00DE62FB">
        <w:rPr>
          <w:rFonts w:ascii="Times New Roman" w:eastAsia="Times New Roman" w:hAnsi="Times New Roman" w:cs="Times New Roman"/>
          <w:sz w:val="28"/>
          <w:szCs w:val="28"/>
          <w:lang w:val="en-US" w:eastAsia="uk-UA"/>
        </w:rPr>
        <w:t>S</w:t>
      </w:r>
      <w:r w:rsidR="00105213" w:rsidRPr="00DE62FB">
        <w:rPr>
          <w:rFonts w:ascii="Times New Roman" w:eastAsia="Times New Roman" w:hAnsi="Times New Roman" w:cs="Times New Roman"/>
          <w:sz w:val="28"/>
          <w:szCs w:val="28"/>
          <w:lang w:val="ru-RU" w:eastAsia="uk-UA"/>
        </w:rPr>
        <w:t>138</w:t>
      </w:r>
      <w:r w:rsidR="00E54C46" w:rsidRPr="00DE62FB">
        <w:rPr>
          <w:rFonts w:ascii="Times New Roman" w:eastAsia="Times New Roman" w:hAnsi="Times New Roman" w:cs="Times New Roman"/>
          <w:sz w:val="28"/>
          <w:szCs w:val="28"/>
          <w:lang w:eastAsia="uk-UA"/>
        </w:rPr>
        <w:t>)</w:t>
      </w:r>
      <w:r w:rsidR="00863BF3" w:rsidRPr="00DE62FB">
        <w:rPr>
          <w:rFonts w:ascii="Times New Roman" w:eastAsia="Times New Roman" w:hAnsi="Times New Roman" w:cs="Times New Roman"/>
          <w:sz w:val="28"/>
          <w:szCs w:val="28"/>
          <w:lang w:eastAsia="uk-UA"/>
        </w:rPr>
        <w:t xml:space="preserve"> </w:t>
      </w:r>
    </w:p>
    <w:p w14:paraId="3EDC31F6" w14:textId="77777777" w:rsidR="00920CCC" w:rsidRDefault="00920CCC" w:rsidP="00920CCC">
      <w:pPr>
        <w:spacing w:before="120" w:after="120" w:line="240" w:lineRule="auto"/>
        <w:ind w:firstLine="709"/>
        <w:jc w:val="center"/>
        <w:rPr>
          <w:rFonts w:ascii="Times New Roman" w:eastAsia="Times New Roman" w:hAnsi="Times New Roman" w:cs="Times New Roman"/>
          <w:b/>
          <w:sz w:val="28"/>
          <w:szCs w:val="28"/>
          <w:u w:val="single"/>
          <w:lang w:eastAsia="uk-UA"/>
        </w:rPr>
      </w:pPr>
    </w:p>
    <w:p w14:paraId="32D6C2B5" w14:textId="041F4665" w:rsidR="00000066" w:rsidRPr="006A6C3E" w:rsidRDefault="00000066" w:rsidP="00920CCC">
      <w:pPr>
        <w:spacing w:before="120" w:after="120" w:line="240" w:lineRule="auto"/>
        <w:ind w:firstLine="709"/>
        <w:jc w:val="center"/>
        <w:rPr>
          <w:rFonts w:ascii="Times New Roman" w:eastAsia="Times New Roman" w:hAnsi="Times New Roman" w:cs="Times New Roman"/>
          <w:b/>
          <w:sz w:val="28"/>
          <w:szCs w:val="28"/>
          <w:u w:val="single"/>
          <w:lang w:eastAsia="uk-UA"/>
        </w:rPr>
      </w:pPr>
      <w:r w:rsidRPr="006A6C3E">
        <w:rPr>
          <w:rFonts w:ascii="Times New Roman" w:eastAsia="Times New Roman" w:hAnsi="Times New Roman" w:cs="Times New Roman"/>
          <w:b/>
          <w:sz w:val="28"/>
          <w:szCs w:val="28"/>
          <w:u w:val="single"/>
          <w:lang w:eastAsia="uk-UA"/>
        </w:rPr>
        <w:lastRenderedPageBreak/>
        <w:t xml:space="preserve">Правила </w:t>
      </w:r>
      <w:r w:rsidR="002132E6" w:rsidRPr="006A6C3E">
        <w:rPr>
          <w:rFonts w:ascii="Times New Roman" w:eastAsia="Times New Roman" w:hAnsi="Times New Roman" w:cs="Times New Roman"/>
          <w:b/>
          <w:sz w:val="28"/>
          <w:szCs w:val="28"/>
          <w:u w:val="single"/>
          <w:lang w:eastAsia="uk-UA"/>
        </w:rPr>
        <w:t>формування показників</w:t>
      </w:r>
    </w:p>
    <w:tbl>
      <w:tblPr>
        <w:tblStyle w:val="af3"/>
        <w:tblW w:w="10491" w:type="dxa"/>
        <w:tblInd w:w="-998" w:type="dxa"/>
        <w:tblLook w:val="04A0" w:firstRow="1" w:lastRow="0" w:firstColumn="1" w:lastColumn="0" w:noHBand="0" w:noVBand="1"/>
      </w:tblPr>
      <w:tblGrid>
        <w:gridCol w:w="563"/>
        <w:gridCol w:w="2626"/>
        <w:gridCol w:w="1263"/>
        <w:gridCol w:w="6039"/>
      </w:tblGrid>
      <w:tr w:rsidR="00F67CA8" w:rsidRPr="006A6C3E" w14:paraId="16E14038" w14:textId="77777777" w:rsidTr="00920CCC">
        <w:trPr>
          <w:trHeight w:val="808"/>
        </w:trPr>
        <w:tc>
          <w:tcPr>
            <w:tcW w:w="567" w:type="dxa"/>
            <w:tcBorders>
              <w:bottom w:val="single" w:sz="4" w:space="0" w:color="auto"/>
            </w:tcBorders>
            <w:shd w:val="clear" w:color="auto" w:fill="auto"/>
          </w:tcPr>
          <w:p w14:paraId="0752F151" w14:textId="77777777" w:rsidR="002D0DA4" w:rsidRPr="006A6C3E" w:rsidRDefault="002D0DA4"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 </w:t>
            </w:r>
            <w:r w:rsidRPr="006A6C3E">
              <w:rPr>
                <w:rFonts w:ascii="Times New Roman" w:hAnsi="Times New Roman" w:cs="Times New Roman"/>
                <w:sz w:val="24"/>
                <w:szCs w:val="24"/>
                <w:lang w:val="ru-RU" w:eastAsia="uk-UA"/>
              </w:rPr>
              <w:t>з</w:t>
            </w:r>
            <w:r w:rsidRPr="006A6C3E">
              <w:rPr>
                <w:rFonts w:ascii="Times New Roman" w:hAnsi="Times New Roman" w:cs="Times New Roman"/>
                <w:sz w:val="24"/>
                <w:szCs w:val="24"/>
                <w:lang w:eastAsia="uk-UA"/>
              </w:rPr>
              <w:t>/п</w:t>
            </w:r>
          </w:p>
        </w:tc>
        <w:tc>
          <w:tcPr>
            <w:tcW w:w="2668" w:type="dxa"/>
            <w:shd w:val="clear" w:color="auto" w:fill="auto"/>
          </w:tcPr>
          <w:p w14:paraId="6B95A2A7" w14:textId="1B57F752" w:rsidR="001A39CD" w:rsidRPr="006A6C3E" w:rsidRDefault="00BA7A80" w:rsidP="00F02034">
            <w:pPr>
              <w:jc w:val="center"/>
              <w:rPr>
                <w:rFonts w:ascii="Times New Roman" w:hAnsi="Times New Roman" w:cs="Times New Roman"/>
                <w:sz w:val="24"/>
                <w:szCs w:val="24"/>
                <w:lang w:val="ru-RU" w:eastAsia="uk-UA"/>
              </w:rPr>
            </w:pPr>
            <w:r w:rsidRPr="006A6C3E">
              <w:rPr>
                <w:rFonts w:ascii="Times New Roman" w:hAnsi="Times New Roman" w:cs="Times New Roman"/>
                <w:sz w:val="24"/>
                <w:szCs w:val="24"/>
                <w:lang w:val="ru-RU" w:eastAsia="uk-UA"/>
              </w:rPr>
              <w:t xml:space="preserve">Складова розрахунку </w:t>
            </w:r>
            <w:r w:rsidR="00F67CA8" w:rsidRPr="006A6C3E">
              <w:rPr>
                <w:rFonts w:ascii="Times New Roman" w:hAnsi="Times New Roman" w:cs="Times New Roman"/>
                <w:sz w:val="24"/>
                <w:szCs w:val="24"/>
                <w:lang w:val="ru-RU" w:eastAsia="uk-UA"/>
              </w:rPr>
              <w:t xml:space="preserve">значення </w:t>
            </w:r>
            <w:r w:rsidRPr="006A6C3E">
              <w:rPr>
                <w:rFonts w:ascii="Times New Roman" w:hAnsi="Times New Roman" w:cs="Times New Roman"/>
                <w:sz w:val="24"/>
                <w:szCs w:val="24"/>
                <w:lang w:val="ru-RU" w:eastAsia="uk-UA"/>
              </w:rPr>
              <w:t>коефіцієнта левериджу</w:t>
            </w:r>
          </w:p>
        </w:tc>
        <w:tc>
          <w:tcPr>
            <w:tcW w:w="1019" w:type="dxa"/>
            <w:shd w:val="clear" w:color="auto" w:fill="auto"/>
          </w:tcPr>
          <w:p w14:paraId="668DC5F8" w14:textId="77777777" w:rsidR="002D0DA4" w:rsidRPr="006A6C3E" w:rsidRDefault="002D0DA4"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val="en-US" w:eastAsia="uk-UA"/>
              </w:rPr>
              <w:t xml:space="preserve">ID </w:t>
            </w:r>
            <w:r w:rsidRPr="006A6C3E">
              <w:rPr>
                <w:rFonts w:ascii="Times New Roman" w:hAnsi="Times New Roman" w:cs="Times New Roman"/>
                <w:sz w:val="24"/>
                <w:szCs w:val="24"/>
                <w:lang w:eastAsia="uk-UA"/>
              </w:rPr>
              <w:t>показника</w:t>
            </w:r>
          </w:p>
        </w:tc>
        <w:tc>
          <w:tcPr>
            <w:tcW w:w="6237" w:type="dxa"/>
            <w:shd w:val="clear" w:color="auto" w:fill="auto"/>
          </w:tcPr>
          <w:p w14:paraId="67F0AB1C" w14:textId="342C7FC4" w:rsidR="002D0DA4" w:rsidRPr="006A6C3E" w:rsidRDefault="00EA548C" w:rsidP="00D34C8A">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Правило </w:t>
            </w:r>
            <w:r w:rsidR="002D0DA4" w:rsidRPr="006A6C3E">
              <w:rPr>
                <w:rFonts w:ascii="Times New Roman" w:hAnsi="Times New Roman" w:cs="Times New Roman"/>
                <w:sz w:val="24"/>
                <w:szCs w:val="24"/>
                <w:lang w:eastAsia="uk-UA"/>
              </w:rPr>
              <w:t>формування показника</w:t>
            </w:r>
          </w:p>
        </w:tc>
      </w:tr>
      <w:tr w:rsidR="00317D73" w:rsidRPr="00317D73" w14:paraId="19368BD9" w14:textId="77777777" w:rsidTr="00920CCC">
        <w:trPr>
          <w:trHeight w:val="922"/>
        </w:trPr>
        <w:tc>
          <w:tcPr>
            <w:tcW w:w="567" w:type="dxa"/>
            <w:tcBorders>
              <w:top w:val="single" w:sz="4" w:space="0" w:color="auto"/>
            </w:tcBorders>
            <w:shd w:val="clear" w:color="auto" w:fill="auto"/>
          </w:tcPr>
          <w:p w14:paraId="349B4291" w14:textId="07EA5E20" w:rsidR="00161736" w:rsidRPr="00317D73" w:rsidRDefault="000B2C98" w:rsidP="00D34C8A">
            <w:pPr>
              <w:jc w:val="center"/>
              <w:rPr>
                <w:rFonts w:ascii="Times New Roman" w:hAnsi="Times New Roman" w:cs="Times New Roman"/>
                <w:sz w:val="24"/>
                <w:szCs w:val="24"/>
                <w:lang w:eastAsia="uk-UA"/>
              </w:rPr>
            </w:pPr>
            <w:r w:rsidRPr="00317D73">
              <w:rPr>
                <w:rFonts w:ascii="Times New Roman" w:hAnsi="Times New Roman" w:cs="Times New Roman"/>
                <w:sz w:val="24"/>
                <w:szCs w:val="24"/>
                <w:lang w:eastAsia="uk-UA"/>
              </w:rPr>
              <w:t>1</w:t>
            </w:r>
          </w:p>
        </w:tc>
        <w:tc>
          <w:tcPr>
            <w:tcW w:w="2668" w:type="dxa"/>
            <w:shd w:val="clear" w:color="auto" w:fill="auto"/>
          </w:tcPr>
          <w:p w14:paraId="43558586" w14:textId="5C9FD02F" w:rsidR="00161736" w:rsidRPr="00317D73" w:rsidRDefault="00161736" w:rsidP="00D34C8A">
            <w:pPr>
              <w:jc w:val="center"/>
              <w:rPr>
                <w:rFonts w:ascii="Times New Roman" w:hAnsi="Times New Roman" w:cs="Times New Roman"/>
                <w:sz w:val="24"/>
                <w:szCs w:val="24"/>
                <w:lang w:val="ru-RU" w:eastAsia="uk-UA"/>
              </w:rPr>
            </w:pPr>
            <w:r w:rsidRPr="00317D73">
              <w:rPr>
                <w:rFonts w:ascii="Times New Roman" w:hAnsi="Times New Roman" w:cs="Times New Roman"/>
                <w:sz w:val="24"/>
                <w:szCs w:val="24"/>
                <w:lang w:val="ru-RU" w:eastAsia="uk-UA"/>
              </w:rPr>
              <w:t>-</w:t>
            </w:r>
          </w:p>
        </w:tc>
        <w:tc>
          <w:tcPr>
            <w:tcW w:w="1019" w:type="dxa"/>
            <w:shd w:val="clear" w:color="auto" w:fill="auto"/>
          </w:tcPr>
          <w:p w14:paraId="42F03F25" w14:textId="0E287297" w:rsidR="00161736" w:rsidRPr="00317D73" w:rsidRDefault="00644DC5" w:rsidP="00D34C8A">
            <w:pPr>
              <w:jc w:val="center"/>
              <w:rPr>
                <w:rFonts w:ascii="Times New Roman" w:eastAsia="Times New Roman" w:hAnsi="Times New Roman" w:cs="Times New Roman"/>
                <w:bCs/>
                <w:sz w:val="24"/>
                <w:szCs w:val="24"/>
                <w:lang w:eastAsia="uk-UA"/>
              </w:rPr>
            </w:pPr>
            <w:r w:rsidRPr="00317D73">
              <w:rPr>
                <w:rFonts w:ascii="Times New Roman" w:eastAsia="Times New Roman" w:hAnsi="Times New Roman" w:cs="Times New Roman"/>
                <w:bCs/>
                <w:sz w:val="24"/>
                <w:szCs w:val="24"/>
                <w:lang w:eastAsia="uk-UA"/>
              </w:rPr>
              <w:t>A</w:t>
            </w:r>
            <w:r w:rsidR="008731B9" w:rsidRPr="00317D73">
              <w:rPr>
                <w:rFonts w:ascii="Times New Roman" w:eastAsia="Times New Roman" w:hAnsi="Times New Roman" w:cs="Times New Roman"/>
                <w:bCs/>
                <w:sz w:val="24"/>
                <w:szCs w:val="24"/>
                <w:lang w:eastAsia="uk-UA"/>
              </w:rPr>
              <w:t>6</w:t>
            </w:r>
            <w:r w:rsidR="0046759E">
              <w:rPr>
                <w:rFonts w:ascii="Times New Roman" w:eastAsia="Times New Roman" w:hAnsi="Times New Roman" w:cs="Times New Roman"/>
                <w:bCs/>
                <w:sz w:val="24"/>
                <w:szCs w:val="24"/>
                <w:lang w:val="en-US" w:eastAsia="uk-UA"/>
              </w:rPr>
              <w:t>J</w:t>
            </w:r>
            <w:r w:rsidR="00C613CA" w:rsidRPr="00317D73">
              <w:rPr>
                <w:rFonts w:ascii="Times New Roman" w:eastAsia="Times New Roman" w:hAnsi="Times New Roman" w:cs="Times New Roman"/>
                <w:bCs/>
                <w:sz w:val="24"/>
                <w:szCs w:val="24"/>
                <w:lang w:eastAsia="uk-UA"/>
              </w:rPr>
              <w:t>001</w:t>
            </w:r>
          </w:p>
        </w:tc>
        <w:tc>
          <w:tcPr>
            <w:tcW w:w="6237" w:type="dxa"/>
            <w:shd w:val="clear" w:color="auto" w:fill="auto"/>
          </w:tcPr>
          <w:p w14:paraId="7723E9FD" w14:textId="424F184F" w:rsidR="00161736" w:rsidRPr="00317D73" w:rsidRDefault="00A15E0C" w:rsidP="00D34C8A">
            <w:pPr>
              <w:jc w:val="both"/>
              <w:rPr>
                <w:rFonts w:ascii="Times New Roman" w:eastAsia="Times New Roman" w:hAnsi="Times New Roman" w:cs="Times New Roman"/>
                <w:b/>
                <w:sz w:val="24"/>
                <w:szCs w:val="24"/>
                <w:lang w:eastAsia="uk-UA"/>
              </w:rPr>
            </w:pPr>
            <w:r w:rsidRPr="00317D73">
              <w:rPr>
                <w:rFonts w:ascii="Times New Roman" w:eastAsia="Times New Roman" w:hAnsi="Times New Roman" w:cs="Times New Roman"/>
                <w:b/>
                <w:sz w:val="24"/>
                <w:szCs w:val="24"/>
                <w:lang w:eastAsia="uk-UA"/>
              </w:rPr>
              <w:t xml:space="preserve">Значення </w:t>
            </w:r>
            <w:r w:rsidR="0009259C" w:rsidRPr="00317D73">
              <w:rPr>
                <w:rFonts w:ascii="Times New Roman" w:eastAsia="Times New Roman" w:hAnsi="Times New Roman" w:cs="Times New Roman"/>
                <w:b/>
                <w:sz w:val="24"/>
                <w:szCs w:val="24"/>
                <w:lang w:eastAsia="uk-UA"/>
              </w:rPr>
              <w:t>к</w:t>
            </w:r>
            <w:r w:rsidR="008731B9" w:rsidRPr="00317D73">
              <w:rPr>
                <w:rFonts w:ascii="Times New Roman" w:eastAsia="Times New Roman" w:hAnsi="Times New Roman" w:cs="Times New Roman"/>
                <w:b/>
                <w:sz w:val="24"/>
                <w:szCs w:val="24"/>
                <w:lang w:eastAsia="uk-UA"/>
              </w:rPr>
              <w:t>оефіцієнт</w:t>
            </w:r>
            <w:r w:rsidR="0009259C" w:rsidRPr="00317D73">
              <w:rPr>
                <w:rFonts w:ascii="Times New Roman" w:eastAsia="Times New Roman" w:hAnsi="Times New Roman" w:cs="Times New Roman"/>
                <w:b/>
                <w:sz w:val="24"/>
                <w:szCs w:val="24"/>
                <w:lang w:eastAsia="uk-UA"/>
              </w:rPr>
              <w:t>а</w:t>
            </w:r>
            <w:r w:rsidR="008731B9" w:rsidRPr="00317D73">
              <w:rPr>
                <w:rFonts w:ascii="Times New Roman" w:eastAsia="Times New Roman" w:hAnsi="Times New Roman" w:cs="Times New Roman"/>
                <w:b/>
                <w:sz w:val="24"/>
                <w:szCs w:val="24"/>
                <w:lang w:eastAsia="uk-UA"/>
              </w:rPr>
              <w:t xml:space="preserve"> левериджу</w:t>
            </w:r>
            <w:r w:rsidR="003C4165" w:rsidRPr="00317D73">
              <w:rPr>
                <w:rFonts w:ascii="Times New Roman" w:eastAsia="Times New Roman" w:hAnsi="Times New Roman" w:cs="Times New Roman"/>
                <w:b/>
                <w:sz w:val="24"/>
                <w:szCs w:val="24"/>
                <w:lang w:eastAsia="uk-UA"/>
              </w:rPr>
              <w:t xml:space="preserve"> (</w:t>
            </w:r>
            <w:r w:rsidR="002C55CF" w:rsidRPr="00317D73">
              <w:rPr>
                <w:rFonts w:ascii="Times New Roman" w:eastAsia="Times New Roman" w:hAnsi="Times New Roman" w:cs="Times New Roman"/>
                <w:b/>
                <w:sz w:val="24"/>
                <w:szCs w:val="24"/>
                <w:lang w:val="en-US" w:eastAsia="uk-UA"/>
              </w:rPr>
              <w:t>LR</w:t>
            </w:r>
            <w:r w:rsidR="003C4165" w:rsidRPr="00317D73">
              <w:rPr>
                <w:rFonts w:ascii="Times New Roman" w:eastAsia="Times New Roman" w:hAnsi="Times New Roman" w:cs="Times New Roman"/>
                <w:b/>
                <w:sz w:val="24"/>
                <w:szCs w:val="24"/>
                <w:lang w:eastAsia="uk-UA"/>
              </w:rPr>
              <w:t>)</w:t>
            </w:r>
          </w:p>
          <w:p w14:paraId="4907CD01" w14:textId="185FCA3F" w:rsidR="004A7809" w:rsidRPr="00317D73" w:rsidRDefault="00161736" w:rsidP="005C4321">
            <w:pPr>
              <w:jc w:val="both"/>
              <w:rPr>
                <w:rFonts w:ascii="Times New Roman" w:eastAsia="Times New Roman" w:hAnsi="Times New Roman" w:cs="Times New Roman"/>
                <w:sz w:val="24"/>
                <w:szCs w:val="24"/>
                <w:lang w:eastAsia="ru-RU"/>
              </w:rPr>
            </w:pPr>
            <w:r w:rsidRPr="00317D73">
              <w:rPr>
                <w:rFonts w:ascii="Times New Roman" w:eastAsia="Times New Roman" w:hAnsi="Times New Roman" w:cs="Times New Roman"/>
                <w:sz w:val="24"/>
                <w:szCs w:val="24"/>
                <w:lang w:eastAsia="uk-UA"/>
              </w:rPr>
              <w:t xml:space="preserve">1. Показник розраховується відповідно до </w:t>
            </w:r>
            <w:r w:rsidR="008731B9" w:rsidRPr="00317D73">
              <w:rPr>
                <w:rFonts w:ascii="Times New Roman" w:eastAsia="Times New Roman" w:hAnsi="Times New Roman" w:cs="Times New Roman"/>
                <w:sz w:val="24"/>
                <w:szCs w:val="24"/>
                <w:lang w:eastAsia="uk-UA"/>
              </w:rPr>
              <w:t>пункту 7 розділу</w:t>
            </w:r>
            <w:r w:rsidR="00697B76" w:rsidRPr="00317D73">
              <w:rPr>
                <w:rFonts w:ascii="Times New Roman" w:eastAsia="Times New Roman" w:hAnsi="Times New Roman" w:cs="Times New Roman"/>
                <w:sz w:val="24"/>
                <w:szCs w:val="24"/>
                <w:lang w:eastAsia="uk-UA"/>
              </w:rPr>
              <w:t> </w:t>
            </w:r>
            <w:r w:rsidR="008731B9" w:rsidRPr="00317D73">
              <w:rPr>
                <w:rFonts w:ascii="Times New Roman" w:eastAsia="Times New Roman" w:hAnsi="Times New Roman" w:cs="Times New Roman"/>
                <w:sz w:val="24"/>
                <w:szCs w:val="24"/>
                <w:lang w:eastAsia="uk-UA"/>
              </w:rPr>
              <w:t>І</w:t>
            </w:r>
            <w:r w:rsidR="00697B76" w:rsidRPr="00317D73">
              <w:rPr>
                <w:rFonts w:ascii="Times New Roman" w:eastAsia="Times New Roman" w:hAnsi="Times New Roman" w:cs="Times New Roman"/>
                <w:sz w:val="24"/>
                <w:szCs w:val="24"/>
                <w:lang w:eastAsia="uk-UA"/>
              </w:rPr>
              <w:t xml:space="preserve"> Положення </w:t>
            </w:r>
            <w:r w:rsidR="008731B9" w:rsidRPr="00317D73">
              <w:rPr>
                <w:rFonts w:ascii="Times New Roman" w:eastAsia="Times New Roman" w:hAnsi="Times New Roman" w:cs="Times New Roman"/>
                <w:sz w:val="24"/>
                <w:szCs w:val="24"/>
                <w:lang w:eastAsia="ru-RU"/>
              </w:rPr>
              <w:t>№ 89</w:t>
            </w:r>
            <w:r w:rsidR="004A7809" w:rsidRPr="00317D73">
              <w:rPr>
                <w:rFonts w:ascii="Times New Roman" w:eastAsia="Times New Roman" w:hAnsi="Times New Roman" w:cs="Times New Roman"/>
                <w:sz w:val="24"/>
                <w:szCs w:val="24"/>
                <w:lang w:eastAsia="ru-RU"/>
              </w:rPr>
              <w:t>.</w:t>
            </w:r>
          </w:p>
          <w:p w14:paraId="15B343A3" w14:textId="260A9BB1" w:rsidR="000B77BB" w:rsidRPr="00317D73" w:rsidRDefault="00A96561" w:rsidP="00592015">
            <w:pPr>
              <w:jc w:val="both"/>
              <w:rPr>
                <w:rFonts w:ascii="Times New Roman" w:hAnsi="Times New Roman" w:cs="Times New Roman"/>
                <w:sz w:val="24"/>
                <w:szCs w:val="24"/>
                <w:lang w:eastAsia="uk-UA"/>
              </w:rPr>
            </w:pPr>
            <w:r w:rsidRPr="00317D73">
              <w:rPr>
                <w:rFonts w:ascii="Times New Roman" w:hAnsi="Times New Roman" w:cs="Times New Roman"/>
                <w:sz w:val="24"/>
                <w:szCs w:val="24"/>
                <w:lang w:eastAsia="uk-UA"/>
              </w:rPr>
              <w:t>2. </w:t>
            </w:r>
            <w:r w:rsidRPr="007C5304">
              <w:rPr>
                <w:rFonts w:ascii="Times New Roman" w:hAnsi="Times New Roman" w:cs="Times New Roman"/>
                <w:sz w:val="24"/>
                <w:szCs w:val="24"/>
                <w:lang w:eastAsia="uk-UA"/>
              </w:rPr>
              <w:t xml:space="preserve">Під час розрахунку </w:t>
            </w:r>
            <w:r w:rsidR="000E6EE9" w:rsidRPr="007C5304">
              <w:rPr>
                <w:rFonts w:ascii="Times New Roman" w:hAnsi="Times New Roman" w:cs="Times New Roman"/>
                <w:sz w:val="24"/>
                <w:szCs w:val="24"/>
                <w:lang w:eastAsia="uk-UA"/>
              </w:rPr>
              <w:t xml:space="preserve">цього </w:t>
            </w:r>
            <w:r w:rsidR="00682D23" w:rsidRPr="007C5304">
              <w:rPr>
                <w:rFonts w:ascii="Times New Roman" w:hAnsi="Times New Roman" w:cs="Times New Roman"/>
                <w:sz w:val="24"/>
                <w:szCs w:val="24"/>
                <w:lang w:eastAsia="uk-UA"/>
              </w:rPr>
              <w:t>показника</w:t>
            </w:r>
            <w:r w:rsidR="00682D23" w:rsidRPr="00317D73">
              <w:rPr>
                <w:rFonts w:ascii="Times New Roman" w:hAnsi="Times New Roman" w:cs="Times New Roman"/>
                <w:sz w:val="24"/>
                <w:szCs w:val="24"/>
                <w:lang w:eastAsia="uk-UA"/>
              </w:rPr>
              <w:t xml:space="preserve"> </w:t>
            </w:r>
            <w:r w:rsidR="000673EB" w:rsidRPr="00317D73">
              <w:rPr>
                <w:rFonts w:ascii="Times New Roman" w:hAnsi="Times New Roman" w:cs="Times New Roman"/>
                <w:sz w:val="24"/>
                <w:szCs w:val="24"/>
                <w:lang w:eastAsia="uk-UA"/>
              </w:rPr>
              <w:t>величина</w:t>
            </w:r>
            <w:r w:rsidR="00750452" w:rsidRPr="00317D73">
              <w:rPr>
                <w:rFonts w:ascii="Times New Roman" w:hAnsi="Times New Roman" w:cs="Times New Roman"/>
                <w:sz w:val="24"/>
                <w:szCs w:val="24"/>
                <w:lang w:eastAsia="uk-UA"/>
              </w:rPr>
              <w:t xml:space="preserve"> </w:t>
            </w:r>
            <w:r w:rsidR="004E1B8F" w:rsidRPr="00317D73">
              <w:rPr>
                <w:rFonts w:ascii="Times New Roman" w:hAnsi="Times New Roman" w:cs="Times New Roman"/>
                <w:sz w:val="24"/>
                <w:szCs w:val="24"/>
                <w:lang w:eastAsia="uk-UA"/>
              </w:rPr>
              <w:t>капітал</w:t>
            </w:r>
            <w:r w:rsidR="00750452" w:rsidRPr="00317D73">
              <w:rPr>
                <w:rFonts w:ascii="Times New Roman" w:hAnsi="Times New Roman" w:cs="Times New Roman"/>
                <w:sz w:val="24"/>
                <w:szCs w:val="24"/>
                <w:lang w:eastAsia="uk-UA"/>
              </w:rPr>
              <w:t>у</w:t>
            </w:r>
            <w:r w:rsidR="00106741" w:rsidRPr="00317D73">
              <w:rPr>
                <w:rFonts w:ascii="Times New Roman" w:hAnsi="Times New Roman" w:cs="Times New Roman"/>
                <w:sz w:val="24"/>
                <w:szCs w:val="24"/>
                <w:lang w:eastAsia="uk-UA"/>
              </w:rPr>
              <w:t xml:space="preserve"> 1 </w:t>
            </w:r>
            <w:r w:rsidR="004E1B8F" w:rsidRPr="00317D73">
              <w:rPr>
                <w:rFonts w:ascii="Times New Roman" w:hAnsi="Times New Roman" w:cs="Times New Roman"/>
                <w:sz w:val="24"/>
                <w:szCs w:val="24"/>
                <w:lang w:eastAsia="uk-UA"/>
              </w:rPr>
              <w:t>рівня</w:t>
            </w:r>
            <w:r w:rsidR="00BF6C43" w:rsidRPr="00317D73">
              <w:rPr>
                <w:rFonts w:ascii="Times New Roman" w:hAnsi="Times New Roman" w:cs="Times New Roman"/>
                <w:sz w:val="24"/>
                <w:szCs w:val="24"/>
                <w:lang w:eastAsia="uk-UA"/>
              </w:rPr>
              <w:t xml:space="preserve"> </w:t>
            </w:r>
            <w:r w:rsidR="00DE4ECC" w:rsidRPr="00317D73">
              <w:rPr>
                <w:rFonts w:ascii="Times New Roman" w:hAnsi="Times New Roman" w:cs="Times New Roman"/>
                <w:sz w:val="24"/>
                <w:szCs w:val="24"/>
                <w:lang w:eastAsia="uk-UA"/>
              </w:rPr>
              <w:t xml:space="preserve">визначається </w:t>
            </w:r>
            <w:r w:rsidR="000673EB" w:rsidRPr="00317D73">
              <w:rPr>
                <w:rFonts w:ascii="Times New Roman" w:hAnsi="Times New Roman" w:cs="Times New Roman"/>
                <w:sz w:val="24"/>
                <w:szCs w:val="24"/>
                <w:lang w:eastAsia="uk-UA"/>
              </w:rPr>
              <w:t>відповідно до</w:t>
            </w:r>
            <w:r w:rsidR="00410D35" w:rsidRPr="00317D73">
              <w:rPr>
                <w:rFonts w:ascii="Times New Roman" w:hAnsi="Times New Roman" w:cs="Times New Roman"/>
                <w:sz w:val="24"/>
                <w:szCs w:val="24"/>
                <w:lang w:eastAsia="uk-UA"/>
              </w:rPr>
              <w:t xml:space="preserve"> розділу ІІ</w:t>
            </w:r>
            <w:r w:rsidR="00585E4C" w:rsidRPr="00317D73">
              <w:rPr>
                <w:rFonts w:ascii="Times New Roman" w:hAnsi="Times New Roman" w:cs="Times New Roman"/>
                <w:sz w:val="24"/>
                <w:szCs w:val="24"/>
                <w:lang w:eastAsia="uk-UA"/>
              </w:rPr>
              <w:t xml:space="preserve"> Положення</w:t>
            </w:r>
            <w:r w:rsidR="00585E4C" w:rsidRPr="00317D73">
              <w:rPr>
                <w:rFonts w:ascii="Times New Roman" w:eastAsia="Times New Roman" w:hAnsi="Times New Roman" w:cs="Times New Roman"/>
                <w:sz w:val="28"/>
                <w:szCs w:val="28"/>
                <w:lang w:eastAsia="uk-UA"/>
              </w:rPr>
              <w:t xml:space="preserve"> </w:t>
            </w:r>
            <w:r w:rsidR="00585E4C" w:rsidRPr="00317D73">
              <w:rPr>
                <w:rFonts w:ascii="Times New Roman" w:hAnsi="Times New Roman" w:cs="Times New Roman"/>
                <w:sz w:val="24"/>
                <w:szCs w:val="24"/>
                <w:lang w:eastAsia="uk-UA"/>
              </w:rPr>
              <w:t>про порядок визначення банками України розміру регулятивного капіталу, затверджен</w:t>
            </w:r>
            <w:r w:rsidR="00556B79" w:rsidRPr="00317D73">
              <w:rPr>
                <w:rFonts w:ascii="Times New Roman" w:hAnsi="Times New Roman" w:cs="Times New Roman"/>
                <w:sz w:val="24"/>
                <w:szCs w:val="24"/>
                <w:lang w:eastAsia="uk-UA"/>
              </w:rPr>
              <w:t>ого</w:t>
            </w:r>
            <w:r w:rsidR="00585E4C" w:rsidRPr="00317D73">
              <w:rPr>
                <w:rFonts w:ascii="Times New Roman" w:hAnsi="Times New Roman" w:cs="Times New Roman"/>
                <w:sz w:val="24"/>
                <w:szCs w:val="24"/>
                <w:lang w:eastAsia="uk-UA"/>
              </w:rPr>
              <w:t xml:space="preserve"> постановою Правління Національного</w:t>
            </w:r>
            <w:r w:rsidR="00592015" w:rsidRPr="00317D73">
              <w:rPr>
                <w:rFonts w:ascii="Times New Roman" w:hAnsi="Times New Roman" w:cs="Times New Roman"/>
                <w:sz w:val="24"/>
                <w:szCs w:val="24"/>
                <w:lang w:eastAsia="uk-UA"/>
              </w:rPr>
              <w:t xml:space="preserve"> банку України від 28.12.2023 № </w:t>
            </w:r>
            <w:r w:rsidR="00585E4C" w:rsidRPr="00317D73">
              <w:rPr>
                <w:rFonts w:ascii="Times New Roman" w:hAnsi="Times New Roman" w:cs="Times New Roman"/>
                <w:sz w:val="24"/>
                <w:szCs w:val="24"/>
                <w:lang w:eastAsia="uk-UA"/>
              </w:rPr>
              <w:t xml:space="preserve">196 </w:t>
            </w:r>
            <w:r w:rsidR="00E40738" w:rsidRPr="00317D73">
              <w:rPr>
                <w:rFonts w:ascii="Times New Roman" w:hAnsi="Times New Roman" w:cs="Times New Roman"/>
                <w:sz w:val="24"/>
                <w:szCs w:val="24"/>
                <w:lang w:eastAsia="uk-UA"/>
              </w:rPr>
              <w:t xml:space="preserve">(зі змінами) </w:t>
            </w:r>
            <w:r w:rsidR="00585E4C" w:rsidRPr="00317D73">
              <w:rPr>
                <w:rFonts w:ascii="Times New Roman" w:hAnsi="Times New Roman" w:cs="Times New Roman"/>
                <w:sz w:val="24"/>
                <w:szCs w:val="24"/>
                <w:lang w:eastAsia="uk-UA"/>
              </w:rPr>
              <w:t>(далі – Положення №</w:t>
            </w:r>
            <w:r w:rsidR="00592015" w:rsidRPr="00317D73">
              <w:rPr>
                <w:rFonts w:ascii="Times New Roman" w:hAnsi="Times New Roman" w:cs="Times New Roman"/>
                <w:sz w:val="24"/>
                <w:szCs w:val="24"/>
                <w:lang w:eastAsia="uk-UA"/>
              </w:rPr>
              <w:t> </w:t>
            </w:r>
            <w:r w:rsidR="00585E4C" w:rsidRPr="00317D73">
              <w:rPr>
                <w:rFonts w:ascii="Times New Roman" w:hAnsi="Times New Roman" w:cs="Times New Roman"/>
                <w:sz w:val="24"/>
                <w:szCs w:val="24"/>
                <w:lang w:eastAsia="uk-UA"/>
              </w:rPr>
              <w:t>196)</w:t>
            </w:r>
            <w:r w:rsidR="00F94A57">
              <w:rPr>
                <w:rFonts w:ascii="Times New Roman" w:hAnsi="Times New Roman" w:cs="Times New Roman"/>
                <w:sz w:val="24"/>
                <w:szCs w:val="24"/>
                <w:lang w:eastAsia="uk-UA"/>
              </w:rPr>
              <w:t>,</w:t>
            </w:r>
            <w:r w:rsidR="00FA12CC" w:rsidRPr="00317D73">
              <w:rPr>
                <w:rFonts w:ascii="Times New Roman" w:hAnsi="Times New Roman" w:cs="Times New Roman"/>
                <w:sz w:val="24"/>
                <w:szCs w:val="24"/>
                <w:lang w:eastAsia="uk-UA"/>
              </w:rPr>
              <w:t xml:space="preserve"> та даних файлу статистичної звітності </w:t>
            </w:r>
            <w:r w:rsidR="00FA12CC" w:rsidRPr="00317D73">
              <w:rPr>
                <w:rFonts w:ascii="Times New Roman" w:eastAsia="Times New Roman" w:hAnsi="Times New Roman" w:cs="Times New Roman"/>
                <w:sz w:val="24"/>
                <w:szCs w:val="24"/>
                <w:lang w:eastAsia="uk-UA"/>
              </w:rPr>
              <w:t>6</w:t>
            </w:r>
            <w:r w:rsidR="00FA12CC" w:rsidRPr="00317D73">
              <w:rPr>
                <w:rFonts w:ascii="Times New Roman" w:eastAsia="Times New Roman" w:hAnsi="Times New Roman" w:cs="Times New Roman"/>
                <w:sz w:val="24"/>
                <w:szCs w:val="24"/>
                <w:lang w:val="en-US" w:eastAsia="uk-UA"/>
              </w:rPr>
              <w:t>RX</w:t>
            </w:r>
            <w:r w:rsidR="00FA12CC" w:rsidRPr="00317D73">
              <w:rPr>
                <w:rFonts w:ascii="Times New Roman" w:eastAsia="Times New Roman" w:hAnsi="Times New Roman" w:cs="Times New Roman"/>
                <w:sz w:val="24"/>
                <w:szCs w:val="24"/>
                <w:lang w:eastAsia="uk-UA"/>
              </w:rPr>
              <w:t xml:space="preserve"> “Дані щодо розрахунку  розміру регулятивного капіталу”</w:t>
            </w:r>
            <w:r w:rsidR="00374DF6" w:rsidRPr="00317D73">
              <w:rPr>
                <w:rFonts w:ascii="Times New Roman" w:eastAsia="Times New Roman" w:hAnsi="Times New Roman" w:cs="Times New Roman"/>
                <w:sz w:val="24"/>
                <w:szCs w:val="24"/>
                <w:lang w:eastAsia="uk-UA"/>
              </w:rPr>
              <w:t>.</w:t>
            </w:r>
          </w:p>
        </w:tc>
      </w:tr>
      <w:tr w:rsidR="0007236E" w:rsidRPr="006A6C3E" w14:paraId="21A9BF3F" w14:textId="77777777" w:rsidTr="00920CCC">
        <w:tc>
          <w:tcPr>
            <w:tcW w:w="567" w:type="dxa"/>
            <w:tcBorders>
              <w:top w:val="single" w:sz="4" w:space="0" w:color="auto"/>
            </w:tcBorders>
            <w:shd w:val="clear" w:color="auto" w:fill="auto"/>
          </w:tcPr>
          <w:p w14:paraId="29ED2D9E" w14:textId="2C95E5A9" w:rsidR="0007236E" w:rsidRPr="006A6C3E" w:rsidRDefault="008C7EFC"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2</w:t>
            </w:r>
          </w:p>
        </w:tc>
        <w:tc>
          <w:tcPr>
            <w:tcW w:w="2668" w:type="dxa"/>
            <w:shd w:val="clear" w:color="auto" w:fill="auto"/>
          </w:tcPr>
          <w:p w14:paraId="65CDA7F3" w14:textId="77777777" w:rsidR="0007236E" w:rsidRPr="006A6C3E" w:rsidRDefault="0007236E" w:rsidP="0007236E">
            <w:pPr>
              <w:pStyle w:val="a3"/>
              <w:ind w:left="0"/>
              <w:jc w:val="center"/>
              <w:rPr>
                <w:rFonts w:ascii="Times New Roman" w:eastAsia="Times New Roman" w:hAnsi="Times New Roman" w:cs="Times New Roman"/>
                <w:sz w:val="24"/>
                <w:szCs w:val="24"/>
                <w:lang w:eastAsia="uk-UA"/>
              </w:rPr>
            </w:pPr>
            <w:r w:rsidRPr="006A6C3E">
              <w:rPr>
                <w:rFonts w:ascii="Times New Roman" w:eastAsia="Times New Roman" w:hAnsi="Times New Roman" w:cs="Times New Roman"/>
                <w:sz w:val="24"/>
                <w:szCs w:val="24"/>
                <w:lang w:eastAsia="uk-UA"/>
              </w:rPr>
              <w:t>Сукупні активи та позабалансові зобов’язання</w:t>
            </w:r>
          </w:p>
          <w:p w14:paraId="0AFBD839" w14:textId="1AC3D4F6" w:rsidR="0007236E" w:rsidRPr="006A6C3E" w:rsidRDefault="0007236E" w:rsidP="0007236E">
            <w:pPr>
              <w:jc w:val="center"/>
              <w:rPr>
                <w:rFonts w:ascii="Times New Roman" w:hAnsi="Times New Roman" w:cs="Times New Roman"/>
                <w:sz w:val="24"/>
                <w:szCs w:val="24"/>
                <w:lang w:eastAsia="uk-UA"/>
              </w:rPr>
            </w:pPr>
          </w:p>
        </w:tc>
        <w:tc>
          <w:tcPr>
            <w:tcW w:w="1019" w:type="dxa"/>
            <w:shd w:val="clear" w:color="auto" w:fill="auto"/>
          </w:tcPr>
          <w:p w14:paraId="7AA2C3AB" w14:textId="40BF4D1B" w:rsidR="0007236E" w:rsidRPr="006A6C3E" w:rsidRDefault="0007236E" w:rsidP="0007236E">
            <w:pPr>
              <w:jc w:val="center"/>
              <w:rPr>
                <w:rFonts w:ascii="Times New Roman" w:hAnsi="Times New Roman" w:cs="Times New Roman"/>
                <w:bCs/>
                <w:sz w:val="24"/>
                <w:szCs w:val="24"/>
                <w:highlight w:val="yellow"/>
                <w:lang w:eastAsia="uk-UA"/>
              </w:rPr>
            </w:pPr>
            <w:r w:rsidRPr="006A6C3E">
              <w:rPr>
                <w:rFonts w:ascii="Times New Roman" w:eastAsia="Times New Roman" w:hAnsi="Times New Roman" w:cs="Times New Roman"/>
                <w:bCs/>
                <w:sz w:val="24"/>
                <w:szCs w:val="24"/>
                <w:lang w:eastAsia="uk-UA"/>
              </w:rPr>
              <w:t>A6</w:t>
            </w:r>
            <w:r w:rsidR="0046759E">
              <w:rPr>
                <w:rFonts w:ascii="Times New Roman" w:eastAsia="Times New Roman" w:hAnsi="Times New Roman" w:cs="Times New Roman"/>
                <w:bCs/>
                <w:sz w:val="24"/>
                <w:szCs w:val="24"/>
                <w:lang w:val="en-US" w:eastAsia="uk-UA"/>
              </w:rPr>
              <w:t>J</w:t>
            </w:r>
            <w:r w:rsidR="00654195" w:rsidRPr="006A6C3E">
              <w:rPr>
                <w:rFonts w:ascii="Times New Roman" w:eastAsia="Times New Roman" w:hAnsi="Times New Roman" w:cs="Times New Roman"/>
                <w:bCs/>
                <w:sz w:val="24"/>
                <w:szCs w:val="24"/>
                <w:lang w:eastAsia="uk-UA"/>
              </w:rPr>
              <w:t>002</w:t>
            </w:r>
          </w:p>
        </w:tc>
        <w:tc>
          <w:tcPr>
            <w:tcW w:w="6237" w:type="dxa"/>
            <w:shd w:val="clear" w:color="auto" w:fill="auto"/>
          </w:tcPr>
          <w:p w14:paraId="27B0FD44" w14:textId="77777777" w:rsidR="0007236E" w:rsidRPr="006A6C3E" w:rsidRDefault="0007236E" w:rsidP="0007236E">
            <w:pPr>
              <w:pStyle w:val="a3"/>
              <w:ind w:left="0"/>
              <w:jc w:val="both"/>
              <w:rPr>
                <w:rFonts w:ascii="Times New Roman" w:eastAsia="Times New Roman" w:hAnsi="Times New Roman" w:cs="Times New Roman"/>
                <w:b/>
                <w:sz w:val="24"/>
                <w:szCs w:val="24"/>
                <w:lang w:eastAsia="uk-UA"/>
              </w:rPr>
            </w:pPr>
            <w:r w:rsidRPr="006A6C3E">
              <w:rPr>
                <w:rFonts w:ascii="Times New Roman" w:eastAsia="Times New Roman" w:hAnsi="Times New Roman" w:cs="Times New Roman"/>
                <w:b/>
                <w:sz w:val="24"/>
                <w:szCs w:val="24"/>
                <w:lang w:eastAsia="uk-UA"/>
              </w:rPr>
              <w:t>Сукупні активи та позабалансові зобов’язання</w:t>
            </w:r>
          </w:p>
          <w:p w14:paraId="268C689B" w14:textId="3EC668F6" w:rsidR="00393533" w:rsidRPr="006A6C3E" w:rsidRDefault="0007236E" w:rsidP="0007236E">
            <w:pPr>
              <w:pStyle w:val="a3"/>
              <w:ind w:left="0"/>
              <w:jc w:val="both"/>
              <w:rPr>
                <w:rFonts w:ascii="Times New Roman" w:eastAsia="Times New Roman" w:hAnsi="Times New Roman" w:cs="Times New Roman"/>
                <w:sz w:val="24"/>
                <w:szCs w:val="24"/>
                <w:lang w:eastAsia="ru-RU"/>
              </w:rPr>
            </w:pPr>
            <w:r w:rsidRPr="006A6C3E">
              <w:rPr>
                <w:rFonts w:ascii="Times New Roman" w:eastAsia="Times New Roman" w:hAnsi="Times New Roman" w:cs="Times New Roman"/>
                <w:sz w:val="24"/>
                <w:szCs w:val="24"/>
                <w:lang w:eastAsia="uk-UA"/>
              </w:rPr>
              <w:t>1. Показник роз</w:t>
            </w:r>
            <w:r w:rsidR="004B3B4C">
              <w:rPr>
                <w:rFonts w:ascii="Times New Roman" w:eastAsia="Times New Roman" w:hAnsi="Times New Roman" w:cs="Times New Roman"/>
                <w:sz w:val="24"/>
                <w:szCs w:val="24"/>
                <w:lang w:eastAsia="uk-UA"/>
              </w:rPr>
              <w:t xml:space="preserve">раховується </w:t>
            </w:r>
            <w:r w:rsidR="004B3B4C" w:rsidRPr="00946C34">
              <w:rPr>
                <w:rFonts w:ascii="Times New Roman" w:eastAsia="Times New Roman" w:hAnsi="Times New Roman" w:cs="Times New Roman"/>
                <w:sz w:val="24"/>
                <w:szCs w:val="24"/>
                <w:lang w:eastAsia="uk-UA"/>
              </w:rPr>
              <w:t xml:space="preserve">відповідно </w:t>
            </w:r>
            <w:r w:rsidR="004B3B4C" w:rsidRPr="008F17F2">
              <w:rPr>
                <w:rFonts w:ascii="Times New Roman" w:eastAsia="Times New Roman" w:hAnsi="Times New Roman" w:cs="Times New Roman"/>
                <w:sz w:val="24"/>
                <w:szCs w:val="24"/>
                <w:lang w:eastAsia="uk-UA"/>
              </w:rPr>
              <w:t>до пункті</w:t>
            </w:r>
            <w:r w:rsidR="00821E7F" w:rsidRPr="008F17F2">
              <w:rPr>
                <w:rFonts w:ascii="Times New Roman" w:eastAsia="Times New Roman" w:hAnsi="Times New Roman" w:cs="Times New Roman"/>
                <w:sz w:val="24"/>
                <w:szCs w:val="24"/>
                <w:lang w:eastAsia="uk-UA"/>
              </w:rPr>
              <w:t>в</w:t>
            </w:r>
            <w:r w:rsidRPr="008F17F2">
              <w:rPr>
                <w:rFonts w:ascii="Times New Roman" w:eastAsia="Times New Roman" w:hAnsi="Times New Roman" w:cs="Times New Roman"/>
                <w:sz w:val="24"/>
                <w:szCs w:val="24"/>
                <w:lang w:eastAsia="uk-UA"/>
              </w:rPr>
              <w:t xml:space="preserve"> 8</w:t>
            </w:r>
            <w:r w:rsidR="004B3B4C" w:rsidRPr="008F17F2">
              <w:rPr>
                <w:rFonts w:ascii="Times New Roman" w:eastAsia="Times New Roman" w:hAnsi="Times New Roman" w:cs="Times New Roman"/>
                <w:sz w:val="24"/>
                <w:szCs w:val="24"/>
                <w:lang w:eastAsia="uk-UA"/>
              </w:rPr>
              <w:t>-10</w:t>
            </w:r>
            <w:r w:rsidRPr="008F17F2">
              <w:rPr>
                <w:rFonts w:ascii="Times New Roman" w:eastAsia="Times New Roman" w:hAnsi="Times New Roman" w:cs="Times New Roman"/>
                <w:sz w:val="24"/>
                <w:szCs w:val="24"/>
                <w:lang w:eastAsia="uk-UA"/>
              </w:rPr>
              <w:t xml:space="preserve"> </w:t>
            </w:r>
            <w:r w:rsidRPr="006A6C3E">
              <w:rPr>
                <w:rFonts w:ascii="Times New Roman" w:eastAsia="Times New Roman" w:hAnsi="Times New Roman" w:cs="Times New Roman"/>
                <w:sz w:val="24"/>
                <w:szCs w:val="24"/>
                <w:lang w:eastAsia="uk-UA"/>
              </w:rPr>
              <w:t xml:space="preserve">розділу І Положення </w:t>
            </w:r>
            <w:r w:rsidR="00592015" w:rsidRPr="006A6C3E">
              <w:rPr>
                <w:rFonts w:ascii="Times New Roman" w:eastAsia="Times New Roman" w:hAnsi="Times New Roman" w:cs="Times New Roman"/>
                <w:sz w:val="24"/>
                <w:szCs w:val="24"/>
                <w:lang w:eastAsia="ru-RU"/>
              </w:rPr>
              <w:t>№ </w:t>
            </w:r>
            <w:r w:rsidRPr="006A6C3E">
              <w:rPr>
                <w:rFonts w:ascii="Times New Roman" w:eastAsia="Times New Roman" w:hAnsi="Times New Roman" w:cs="Times New Roman"/>
                <w:sz w:val="24"/>
                <w:szCs w:val="24"/>
                <w:lang w:eastAsia="ru-RU"/>
              </w:rPr>
              <w:t>8</w:t>
            </w:r>
            <w:r w:rsidR="00F55DD3">
              <w:rPr>
                <w:rFonts w:ascii="Times New Roman" w:eastAsia="Times New Roman" w:hAnsi="Times New Roman" w:cs="Times New Roman"/>
                <w:sz w:val="24"/>
                <w:szCs w:val="24"/>
                <w:lang w:eastAsia="ru-RU"/>
              </w:rPr>
              <w:t>9</w:t>
            </w:r>
            <w:r w:rsidR="00393533" w:rsidRPr="006A6C3E">
              <w:rPr>
                <w:rFonts w:ascii="Times New Roman" w:eastAsia="Times New Roman" w:hAnsi="Times New Roman" w:cs="Times New Roman"/>
                <w:sz w:val="24"/>
                <w:szCs w:val="24"/>
                <w:lang w:eastAsia="ru-RU"/>
              </w:rPr>
              <w:t>.</w:t>
            </w:r>
          </w:p>
          <w:p w14:paraId="51396377" w14:textId="37DD21FF" w:rsidR="0007236E" w:rsidRPr="006A6C3E" w:rsidRDefault="00393533" w:rsidP="00184112">
            <w:pPr>
              <w:pStyle w:val="a3"/>
              <w:ind w:left="0"/>
              <w:jc w:val="both"/>
              <w:rPr>
                <w:rFonts w:ascii="Times New Roman" w:eastAsia="Times New Roman" w:hAnsi="Times New Roman" w:cs="Times New Roman"/>
                <w:sz w:val="24"/>
                <w:szCs w:val="24"/>
                <w:lang w:eastAsia="ru-RU"/>
              </w:rPr>
            </w:pPr>
            <w:r w:rsidRPr="00D95D4A">
              <w:rPr>
                <w:rFonts w:ascii="Times New Roman" w:eastAsia="Times New Roman" w:hAnsi="Times New Roman" w:cs="Times New Roman"/>
                <w:sz w:val="24"/>
                <w:szCs w:val="24"/>
                <w:lang w:eastAsia="uk-UA"/>
              </w:rPr>
              <w:t>2. До</w:t>
            </w:r>
            <w:r w:rsidR="00F55DD3" w:rsidRPr="00D95D4A">
              <w:rPr>
                <w:rFonts w:ascii="Times New Roman" w:eastAsia="Times New Roman" w:hAnsi="Times New Roman" w:cs="Times New Roman"/>
                <w:sz w:val="24"/>
                <w:szCs w:val="24"/>
                <w:lang w:eastAsia="uk-UA"/>
              </w:rPr>
              <w:t xml:space="preserve"> цього</w:t>
            </w:r>
            <w:r w:rsidRPr="00D95D4A">
              <w:rPr>
                <w:rFonts w:ascii="Times New Roman" w:eastAsia="Times New Roman" w:hAnsi="Times New Roman" w:cs="Times New Roman"/>
                <w:sz w:val="24"/>
                <w:szCs w:val="24"/>
                <w:lang w:eastAsia="uk-UA"/>
              </w:rPr>
              <w:t xml:space="preserve"> показника включається </w:t>
            </w:r>
            <w:r w:rsidR="009C6598" w:rsidRPr="00D95D4A">
              <w:rPr>
                <w:rFonts w:ascii="Times New Roman" w:eastAsia="Times New Roman" w:hAnsi="Times New Roman" w:cs="Times New Roman"/>
                <w:sz w:val="24"/>
                <w:szCs w:val="24"/>
                <w:lang w:eastAsia="uk-UA"/>
              </w:rPr>
              <w:t>різниця</w:t>
            </w:r>
            <w:r w:rsidR="0007236E" w:rsidRPr="00D95D4A">
              <w:rPr>
                <w:rFonts w:ascii="Times New Roman" w:eastAsia="Times New Roman" w:hAnsi="Times New Roman" w:cs="Times New Roman"/>
                <w:sz w:val="24"/>
                <w:szCs w:val="24"/>
                <w:lang w:eastAsia="uk-UA"/>
              </w:rPr>
              <w:t xml:space="preserve"> між сумою за показниками A6</w:t>
            </w:r>
            <w:r w:rsidR="00AC3AE4" w:rsidRPr="00D95D4A">
              <w:rPr>
                <w:rFonts w:ascii="Times New Roman" w:eastAsia="Times New Roman" w:hAnsi="Times New Roman" w:cs="Times New Roman"/>
                <w:sz w:val="24"/>
                <w:szCs w:val="24"/>
                <w:lang w:eastAsia="uk-UA"/>
              </w:rPr>
              <w:t>J</w:t>
            </w:r>
            <w:r w:rsidR="005D4E15" w:rsidRPr="00D95D4A">
              <w:rPr>
                <w:rFonts w:ascii="Times New Roman" w:eastAsia="Times New Roman" w:hAnsi="Times New Roman" w:cs="Times New Roman"/>
                <w:sz w:val="24"/>
                <w:szCs w:val="24"/>
                <w:lang w:eastAsia="uk-UA"/>
              </w:rPr>
              <w:t>003</w:t>
            </w:r>
            <w:r w:rsidR="0007236E" w:rsidRPr="00D95D4A">
              <w:rPr>
                <w:rFonts w:ascii="Times New Roman" w:eastAsia="Times New Roman" w:hAnsi="Times New Roman" w:cs="Times New Roman"/>
                <w:sz w:val="24"/>
                <w:szCs w:val="24"/>
                <w:lang w:eastAsia="uk-UA"/>
              </w:rPr>
              <w:t>-</w:t>
            </w:r>
            <w:r w:rsidR="00584ED5" w:rsidRPr="00D95D4A">
              <w:rPr>
                <w:rFonts w:ascii="Times New Roman" w:eastAsia="Times New Roman" w:hAnsi="Times New Roman" w:cs="Times New Roman"/>
                <w:sz w:val="24"/>
                <w:szCs w:val="24"/>
                <w:lang w:eastAsia="uk-UA"/>
              </w:rPr>
              <w:t>A6J011,</w:t>
            </w:r>
            <w:r w:rsidR="00184112" w:rsidRPr="00D95D4A">
              <w:rPr>
                <w:rFonts w:ascii="Times New Roman" w:eastAsia="Times New Roman" w:hAnsi="Times New Roman" w:cs="Times New Roman"/>
                <w:sz w:val="24"/>
                <w:szCs w:val="24"/>
                <w:lang w:eastAsia="uk-UA"/>
              </w:rPr>
              <w:t xml:space="preserve"> A6J014-A6J034 </w:t>
            </w:r>
            <w:r w:rsidR="0007236E" w:rsidRPr="00D95D4A">
              <w:rPr>
                <w:rFonts w:ascii="Times New Roman" w:eastAsia="Times New Roman" w:hAnsi="Times New Roman" w:cs="Times New Roman"/>
                <w:sz w:val="24"/>
                <w:szCs w:val="24"/>
                <w:lang w:eastAsia="uk-UA"/>
              </w:rPr>
              <w:t>та сумою за показниками A6</w:t>
            </w:r>
            <w:r w:rsidR="00AC3AE4" w:rsidRPr="00D95D4A">
              <w:rPr>
                <w:rFonts w:ascii="Times New Roman" w:eastAsia="Times New Roman" w:hAnsi="Times New Roman" w:cs="Times New Roman"/>
                <w:sz w:val="24"/>
                <w:szCs w:val="24"/>
                <w:lang w:eastAsia="uk-UA"/>
              </w:rPr>
              <w:t>J</w:t>
            </w:r>
            <w:r w:rsidR="00C22166" w:rsidRPr="00D95D4A">
              <w:rPr>
                <w:rFonts w:ascii="Times New Roman" w:eastAsia="Times New Roman" w:hAnsi="Times New Roman" w:cs="Times New Roman"/>
                <w:sz w:val="24"/>
                <w:szCs w:val="24"/>
                <w:lang w:eastAsia="uk-UA"/>
              </w:rPr>
              <w:t>035</w:t>
            </w:r>
            <w:r w:rsidR="0007236E" w:rsidRPr="00D95D4A">
              <w:rPr>
                <w:rFonts w:ascii="Times New Roman" w:eastAsia="Times New Roman" w:hAnsi="Times New Roman" w:cs="Times New Roman"/>
                <w:sz w:val="24"/>
                <w:szCs w:val="24"/>
                <w:lang w:eastAsia="uk-UA"/>
              </w:rPr>
              <w:t>-A6</w:t>
            </w:r>
            <w:r w:rsidR="00AC3AE4" w:rsidRPr="00D95D4A">
              <w:rPr>
                <w:rFonts w:ascii="Times New Roman" w:eastAsia="Times New Roman" w:hAnsi="Times New Roman" w:cs="Times New Roman"/>
                <w:sz w:val="24"/>
                <w:szCs w:val="24"/>
                <w:lang w:eastAsia="uk-UA"/>
              </w:rPr>
              <w:t>J</w:t>
            </w:r>
            <w:r w:rsidR="00F81232" w:rsidRPr="00D95D4A">
              <w:rPr>
                <w:rFonts w:ascii="Times New Roman" w:eastAsia="Times New Roman" w:hAnsi="Times New Roman" w:cs="Times New Roman"/>
                <w:sz w:val="24"/>
                <w:szCs w:val="24"/>
                <w:lang w:eastAsia="uk-UA"/>
              </w:rPr>
              <w:t>040</w:t>
            </w:r>
            <w:r w:rsidR="0007236E" w:rsidRPr="00D95D4A">
              <w:rPr>
                <w:rFonts w:ascii="Times New Roman" w:eastAsia="Times New Roman" w:hAnsi="Times New Roman" w:cs="Times New Roman"/>
                <w:sz w:val="24"/>
                <w:szCs w:val="24"/>
                <w:lang w:eastAsia="uk-UA"/>
              </w:rPr>
              <w:t>.</w:t>
            </w:r>
          </w:p>
        </w:tc>
      </w:tr>
      <w:tr w:rsidR="00E7583B" w:rsidRPr="00E7583B" w14:paraId="0A0F9ED3" w14:textId="77777777" w:rsidTr="00920CCC">
        <w:tc>
          <w:tcPr>
            <w:tcW w:w="567" w:type="dxa"/>
            <w:tcBorders>
              <w:top w:val="single" w:sz="4" w:space="0" w:color="auto"/>
            </w:tcBorders>
            <w:shd w:val="clear" w:color="auto" w:fill="auto"/>
          </w:tcPr>
          <w:p w14:paraId="5A695F29" w14:textId="5735DE61" w:rsidR="0007236E" w:rsidRPr="00E7583B" w:rsidRDefault="00654195" w:rsidP="0007236E">
            <w:pPr>
              <w:jc w:val="center"/>
              <w:rPr>
                <w:rFonts w:ascii="Times New Roman" w:hAnsi="Times New Roman" w:cs="Times New Roman"/>
                <w:sz w:val="24"/>
                <w:szCs w:val="24"/>
                <w:highlight w:val="yellow"/>
                <w:lang w:eastAsia="uk-UA"/>
              </w:rPr>
            </w:pPr>
            <w:r w:rsidRPr="00E7583B">
              <w:rPr>
                <w:rFonts w:ascii="Times New Roman" w:hAnsi="Times New Roman" w:cs="Times New Roman"/>
                <w:sz w:val="24"/>
                <w:szCs w:val="24"/>
                <w:lang w:eastAsia="uk-UA"/>
              </w:rPr>
              <w:t>3</w:t>
            </w:r>
          </w:p>
        </w:tc>
        <w:tc>
          <w:tcPr>
            <w:tcW w:w="2668" w:type="dxa"/>
            <w:shd w:val="clear" w:color="auto" w:fill="auto"/>
          </w:tcPr>
          <w:p w14:paraId="4D1FD270" w14:textId="10208A40" w:rsidR="0007236E" w:rsidRPr="00E7583B" w:rsidRDefault="00451DFD" w:rsidP="0007236E">
            <w:pPr>
              <w:jc w:val="center"/>
              <w:rPr>
                <w:rFonts w:ascii="Times New Roman" w:hAnsi="Times New Roman" w:cs="Times New Roman"/>
                <w:sz w:val="24"/>
                <w:szCs w:val="24"/>
                <w:lang w:eastAsia="uk-UA"/>
              </w:rPr>
            </w:pPr>
            <w:r w:rsidRPr="00E7583B">
              <w:rPr>
                <w:rFonts w:ascii="Times New Roman" w:hAnsi="Times New Roman" w:cs="Times New Roman"/>
                <w:sz w:val="24"/>
                <w:szCs w:val="24"/>
                <w:lang w:eastAsia="uk-UA"/>
              </w:rPr>
              <w:t>Складова</w:t>
            </w:r>
            <w:r w:rsidR="0007236E" w:rsidRPr="00E7583B">
              <w:rPr>
                <w:rFonts w:ascii="Times New Roman" w:hAnsi="Times New Roman" w:cs="Times New Roman"/>
                <w:sz w:val="24"/>
                <w:szCs w:val="24"/>
                <w:lang w:eastAsia="uk-UA"/>
              </w:rPr>
              <w:t xml:space="preserve"> сукупних активів та позабалансових зобов’язань. </w:t>
            </w:r>
          </w:p>
          <w:p w14:paraId="1774984A" w14:textId="06EAE7F7" w:rsidR="0007236E" w:rsidRPr="00E7583B" w:rsidRDefault="00451DFD" w:rsidP="0007236E">
            <w:pPr>
              <w:jc w:val="center"/>
              <w:rPr>
                <w:rFonts w:ascii="Times New Roman" w:hAnsi="Times New Roman" w:cs="Times New Roman"/>
                <w:sz w:val="24"/>
                <w:szCs w:val="24"/>
                <w:highlight w:val="yellow"/>
                <w:lang w:eastAsia="uk-UA"/>
              </w:rPr>
            </w:pPr>
            <w:r w:rsidRPr="00E7583B">
              <w:rPr>
                <w:rFonts w:ascii="Times New Roman" w:hAnsi="Times New Roman" w:cs="Times New Roman"/>
                <w:sz w:val="24"/>
                <w:szCs w:val="24"/>
                <w:lang w:eastAsia="uk-UA"/>
              </w:rPr>
              <w:t>Сукупний розмір</w:t>
            </w:r>
            <w:r w:rsidR="0007236E" w:rsidRPr="00E7583B">
              <w:rPr>
                <w:rFonts w:ascii="Times New Roman" w:hAnsi="Times New Roman" w:cs="Times New Roman"/>
                <w:sz w:val="24"/>
                <w:szCs w:val="24"/>
                <w:lang w:eastAsia="uk-UA"/>
              </w:rPr>
              <w:t xml:space="preserve"> експозицій за активами (крім деривативів)</w:t>
            </w:r>
          </w:p>
        </w:tc>
        <w:tc>
          <w:tcPr>
            <w:tcW w:w="1019" w:type="dxa"/>
            <w:shd w:val="clear" w:color="auto" w:fill="auto"/>
          </w:tcPr>
          <w:p w14:paraId="6F03140A" w14:textId="789DE91A" w:rsidR="0007236E" w:rsidRPr="00E7583B" w:rsidRDefault="0007236E" w:rsidP="0007236E">
            <w:pPr>
              <w:jc w:val="center"/>
              <w:rPr>
                <w:rFonts w:ascii="Times New Roman" w:hAnsi="Times New Roman" w:cs="Times New Roman"/>
                <w:bCs/>
                <w:sz w:val="24"/>
                <w:szCs w:val="24"/>
                <w:highlight w:val="yellow"/>
                <w:lang w:eastAsia="uk-UA"/>
              </w:rPr>
            </w:pPr>
            <w:r w:rsidRPr="00E7583B">
              <w:rPr>
                <w:rFonts w:ascii="Times New Roman" w:eastAsia="Times New Roman" w:hAnsi="Times New Roman" w:cs="Times New Roman"/>
                <w:bCs/>
                <w:sz w:val="24"/>
                <w:szCs w:val="24"/>
                <w:lang w:eastAsia="uk-UA"/>
              </w:rPr>
              <w:t>A6</w:t>
            </w:r>
            <w:r w:rsidR="0046759E" w:rsidRPr="00E7583B">
              <w:rPr>
                <w:rFonts w:ascii="Times New Roman" w:eastAsia="Times New Roman" w:hAnsi="Times New Roman" w:cs="Times New Roman"/>
                <w:bCs/>
                <w:sz w:val="24"/>
                <w:szCs w:val="24"/>
                <w:lang w:val="en-US" w:eastAsia="uk-UA"/>
              </w:rPr>
              <w:t>J</w:t>
            </w:r>
            <w:r w:rsidR="00654195" w:rsidRPr="00E7583B">
              <w:rPr>
                <w:rFonts w:ascii="Times New Roman" w:eastAsia="Times New Roman" w:hAnsi="Times New Roman" w:cs="Times New Roman"/>
                <w:bCs/>
                <w:sz w:val="24"/>
                <w:szCs w:val="24"/>
                <w:lang w:eastAsia="uk-UA"/>
              </w:rPr>
              <w:t>003</w:t>
            </w:r>
          </w:p>
        </w:tc>
        <w:tc>
          <w:tcPr>
            <w:tcW w:w="6237" w:type="dxa"/>
            <w:shd w:val="clear" w:color="auto" w:fill="auto"/>
          </w:tcPr>
          <w:p w14:paraId="56FAC887" w14:textId="69B8D160" w:rsidR="0007236E" w:rsidRPr="00E7583B" w:rsidRDefault="0007236E" w:rsidP="0007236E">
            <w:pPr>
              <w:pStyle w:val="a3"/>
              <w:ind w:left="0"/>
              <w:jc w:val="both"/>
              <w:rPr>
                <w:rFonts w:ascii="Times New Roman" w:eastAsia="Times New Roman" w:hAnsi="Times New Roman" w:cs="Times New Roman"/>
                <w:b/>
                <w:sz w:val="24"/>
                <w:szCs w:val="24"/>
                <w:lang w:eastAsia="uk-UA"/>
              </w:rPr>
            </w:pPr>
            <w:r w:rsidRPr="00E7583B">
              <w:rPr>
                <w:rFonts w:ascii="Times New Roman" w:hAnsi="Times New Roman" w:cs="Times New Roman"/>
                <w:b/>
                <w:sz w:val="24"/>
                <w:szCs w:val="24"/>
                <w:lang w:eastAsia="uk-UA"/>
              </w:rPr>
              <w:t xml:space="preserve">Розмір експозицій за активами </w:t>
            </w:r>
          </w:p>
          <w:p w14:paraId="4712DE47" w14:textId="4BC83D7A" w:rsidR="00A92B90" w:rsidRPr="00B24517" w:rsidRDefault="0007236E" w:rsidP="0007236E">
            <w:pPr>
              <w:pStyle w:val="a3"/>
              <w:ind w:left="0"/>
              <w:jc w:val="both"/>
              <w:rPr>
                <w:rFonts w:ascii="Times New Roman" w:hAnsi="Times New Roman" w:cs="Times New Roman"/>
                <w:sz w:val="24"/>
                <w:szCs w:val="24"/>
                <w:lang w:eastAsia="uk-UA"/>
              </w:rPr>
            </w:pPr>
            <w:r w:rsidRPr="00E7583B">
              <w:rPr>
                <w:rFonts w:ascii="Times New Roman" w:eastAsia="Times New Roman" w:hAnsi="Times New Roman" w:cs="Times New Roman"/>
                <w:sz w:val="24"/>
                <w:szCs w:val="24"/>
                <w:lang w:eastAsia="uk-UA"/>
              </w:rPr>
              <w:t xml:space="preserve">1. Сума за складовою </w:t>
            </w:r>
            <w:r w:rsidRPr="00E7583B">
              <w:rPr>
                <w:rFonts w:ascii="Times New Roman" w:hAnsi="Times New Roman" w:cs="Times New Roman"/>
                <w:sz w:val="24"/>
                <w:szCs w:val="24"/>
                <w:lang w:eastAsia="uk-UA"/>
              </w:rPr>
              <w:t>сукупних активі</w:t>
            </w:r>
            <w:r w:rsidR="000B33B1">
              <w:rPr>
                <w:rFonts w:ascii="Times New Roman" w:hAnsi="Times New Roman" w:cs="Times New Roman"/>
                <w:sz w:val="24"/>
                <w:szCs w:val="24"/>
                <w:lang w:eastAsia="uk-UA"/>
              </w:rPr>
              <w:t>в та позабалансових зобов’язань – </w:t>
            </w:r>
            <w:r w:rsidRPr="00E7583B">
              <w:rPr>
                <w:rFonts w:ascii="Times New Roman" w:hAnsi="Times New Roman" w:cs="Times New Roman"/>
                <w:sz w:val="24"/>
                <w:szCs w:val="24"/>
                <w:lang w:eastAsia="uk-UA"/>
              </w:rPr>
              <w:t>сума балансової вартості активів (крім деривативів)</w:t>
            </w:r>
            <w:r w:rsidRPr="00E7583B">
              <w:rPr>
                <w:rFonts w:ascii="Times New Roman" w:eastAsia="Times New Roman" w:hAnsi="Times New Roman" w:cs="Times New Roman"/>
                <w:sz w:val="24"/>
                <w:szCs w:val="24"/>
                <w:lang w:eastAsia="uk-UA"/>
              </w:rPr>
              <w:t>,</w:t>
            </w:r>
            <w:r w:rsidRPr="00E7583B">
              <w:rPr>
                <w:rFonts w:ascii="Times New Roman" w:eastAsia="Times New Roman" w:hAnsi="Times New Roman" w:cs="Times New Roman"/>
                <w:sz w:val="24"/>
                <w:szCs w:val="24"/>
                <w:lang w:eastAsia="ru-RU"/>
              </w:rPr>
              <w:t xml:space="preserve"> </w:t>
            </w:r>
            <w:r w:rsidRPr="00017F2D">
              <w:rPr>
                <w:rFonts w:ascii="Times New Roman" w:eastAsia="Times New Roman" w:hAnsi="Times New Roman" w:cs="Times New Roman"/>
                <w:sz w:val="24"/>
                <w:szCs w:val="24"/>
                <w:lang w:eastAsia="ru-RU"/>
              </w:rPr>
              <w:t>яка включається до</w:t>
            </w:r>
            <w:r w:rsidR="00961610">
              <w:rPr>
                <w:rFonts w:ascii="Times New Roman" w:eastAsia="Times New Roman" w:hAnsi="Times New Roman" w:cs="Times New Roman"/>
                <w:sz w:val="24"/>
                <w:szCs w:val="24"/>
                <w:lang w:eastAsia="ru-RU"/>
              </w:rPr>
              <w:t xml:space="preserve"> розрахунку</w:t>
            </w:r>
            <w:r w:rsidRPr="00017F2D">
              <w:rPr>
                <w:rFonts w:ascii="Times New Roman" w:eastAsia="Times New Roman" w:hAnsi="Times New Roman" w:cs="Times New Roman"/>
                <w:sz w:val="24"/>
                <w:szCs w:val="24"/>
                <w:lang w:eastAsia="ru-RU"/>
              </w:rPr>
              <w:t xml:space="preserve"> </w:t>
            </w:r>
            <w:r w:rsidR="009E41EE" w:rsidRPr="00017F2D">
              <w:rPr>
                <w:rFonts w:ascii="Times New Roman" w:hAnsi="Times New Roman" w:cs="Times New Roman"/>
                <w:sz w:val="24"/>
                <w:szCs w:val="24"/>
                <w:lang w:eastAsia="uk-UA"/>
              </w:rPr>
              <w:t>сукупного розміру експозицій за активами</w:t>
            </w:r>
            <w:r w:rsidR="00146DA0" w:rsidRPr="006A081A">
              <w:rPr>
                <w:rFonts w:ascii="Times New Roman" w:hAnsi="Times New Roman" w:cs="Times New Roman"/>
                <w:sz w:val="24"/>
                <w:szCs w:val="24"/>
                <w:lang w:eastAsia="uk-UA"/>
              </w:rPr>
              <w:t xml:space="preserve"> згідно</w:t>
            </w:r>
            <w:r w:rsidR="00146DA0" w:rsidRPr="00E7583B">
              <w:rPr>
                <w:rFonts w:ascii="Times New Roman" w:hAnsi="Times New Roman" w:cs="Times New Roman"/>
                <w:sz w:val="24"/>
                <w:szCs w:val="24"/>
                <w:lang w:eastAsia="uk-UA"/>
              </w:rPr>
              <w:t xml:space="preserve"> з</w:t>
            </w:r>
            <w:r w:rsidR="00B2737E">
              <w:rPr>
                <w:rFonts w:ascii="Times New Roman" w:hAnsi="Times New Roman" w:cs="Times New Roman"/>
                <w:sz w:val="24"/>
                <w:szCs w:val="24"/>
                <w:lang w:eastAsia="uk-UA"/>
              </w:rPr>
              <w:t xml:space="preserve"> підпунктом 1</w:t>
            </w:r>
            <w:r w:rsidR="00146DA0" w:rsidRPr="00E7583B">
              <w:rPr>
                <w:rFonts w:ascii="Times New Roman" w:hAnsi="Times New Roman" w:cs="Times New Roman"/>
                <w:sz w:val="24"/>
                <w:szCs w:val="24"/>
                <w:lang w:eastAsia="uk-UA"/>
              </w:rPr>
              <w:t xml:space="preserve"> </w:t>
            </w:r>
            <w:r w:rsidR="00B2737E">
              <w:rPr>
                <w:rFonts w:ascii="Times New Roman" w:hAnsi="Times New Roman" w:cs="Times New Roman"/>
                <w:sz w:val="24"/>
                <w:szCs w:val="24"/>
                <w:lang w:eastAsia="uk-UA"/>
              </w:rPr>
              <w:t>пункту 11</w:t>
            </w:r>
            <w:r w:rsidR="00146DA0" w:rsidRPr="00E7583B">
              <w:rPr>
                <w:rFonts w:ascii="Times New Roman" w:hAnsi="Times New Roman" w:cs="Times New Roman"/>
                <w:sz w:val="24"/>
                <w:szCs w:val="24"/>
                <w:lang w:eastAsia="uk-UA"/>
              </w:rPr>
              <w:t xml:space="preserve"> </w:t>
            </w:r>
            <w:r w:rsidR="00146DA0" w:rsidRPr="00E7583B">
              <w:rPr>
                <w:rFonts w:ascii="Times New Roman" w:eastAsia="Times New Roman" w:hAnsi="Times New Roman" w:cs="Times New Roman"/>
                <w:sz w:val="24"/>
                <w:szCs w:val="24"/>
                <w:lang w:eastAsia="uk-UA"/>
              </w:rPr>
              <w:t xml:space="preserve">розділу </w:t>
            </w:r>
            <w:r w:rsidR="00146DA0" w:rsidRPr="00E7583B">
              <w:rPr>
                <w:rFonts w:ascii="Times New Roman" w:eastAsia="Times New Roman" w:hAnsi="Times New Roman" w:cs="Times New Roman"/>
                <w:sz w:val="24"/>
                <w:szCs w:val="24"/>
                <w:lang w:val="en-US" w:eastAsia="uk-UA"/>
              </w:rPr>
              <w:t>II</w:t>
            </w:r>
            <w:r w:rsidR="00146DA0" w:rsidRPr="00E7583B">
              <w:rPr>
                <w:rFonts w:ascii="Times New Roman" w:eastAsia="Times New Roman" w:hAnsi="Times New Roman" w:cs="Times New Roman"/>
                <w:sz w:val="24"/>
                <w:szCs w:val="24"/>
                <w:lang w:eastAsia="uk-UA"/>
              </w:rPr>
              <w:t xml:space="preserve"> Положення № 89</w:t>
            </w:r>
            <w:r w:rsidR="00B2737E">
              <w:rPr>
                <w:rFonts w:ascii="Times New Roman" w:eastAsia="Times New Roman" w:hAnsi="Times New Roman" w:cs="Times New Roman"/>
                <w:sz w:val="24"/>
                <w:szCs w:val="24"/>
                <w:lang w:eastAsia="uk-UA"/>
              </w:rPr>
              <w:t>,</w:t>
            </w:r>
            <w:r w:rsidR="009E41EE" w:rsidRPr="00E7583B">
              <w:rPr>
                <w:rFonts w:ascii="Times New Roman" w:hAnsi="Times New Roman" w:cs="Times New Roman"/>
                <w:sz w:val="24"/>
                <w:szCs w:val="24"/>
                <w:lang w:eastAsia="uk-UA"/>
              </w:rPr>
              <w:t xml:space="preserve"> </w:t>
            </w:r>
            <w:r w:rsidR="00A92B90" w:rsidRPr="00E7583B">
              <w:rPr>
                <w:rFonts w:ascii="Times New Roman" w:eastAsia="Times New Roman" w:hAnsi="Times New Roman" w:cs="Times New Roman"/>
                <w:sz w:val="24"/>
                <w:szCs w:val="24"/>
                <w:lang w:eastAsia="ru-RU"/>
              </w:rPr>
              <w:t>з урахуванням</w:t>
            </w:r>
            <w:r w:rsidR="003538A5">
              <w:rPr>
                <w:rFonts w:ascii="Times New Roman" w:hAnsi="Times New Roman" w:cs="Times New Roman"/>
                <w:sz w:val="24"/>
                <w:szCs w:val="24"/>
                <w:lang w:eastAsia="uk-UA"/>
              </w:rPr>
              <w:t xml:space="preserve"> </w:t>
            </w:r>
            <w:r w:rsidR="0088523D" w:rsidRPr="00E7583B">
              <w:rPr>
                <w:rFonts w:ascii="Times New Roman" w:hAnsi="Times New Roman" w:cs="Times New Roman"/>
                <w:sz w:val="24"/>
                <w:szCs w:val="24"/>
                <w:lang w:eastAsia="uk-UA"/>
              </w:rPr>
              <w:t>R020(GR</w:t>
            </w:r>
            <w:r w:rsidR="00FE3E52" w:rsidRPr="00E7583B">
              <w:rPr>
                <w:rFonts w:ascii="Times New Roman" w:hAnsi="Times New Roman" w:cs="Times New Roman"/>
                <w:sz w:val="24"/>
                <w:szCs w:val="24"/>
                <w:lang w:eastAsia="uk-UA"/>
              </w:rPr>
              <w:t>100</w:t>
            </w:r>
            <w:r w:rsidR="0088523D" w:rsidRPr="00E7583B">
              <w:rPr>
                <w:rFonts w:ascii="Times New Roman" w:hAnsi="Times New Roman" w:cs="Times New Roman"/>
                <w:sz w:val="24"/>
                <w:szCs w:val="24"/>
                <w:lang w:eastAsia="uk-UA"/>
              </w:rPr>
              <w:t>)/T020(1),</w:t>
            </w:r>
            <w:r w:rsidR="00CB6C45" w:rsidRPr="00E7583B">
              <w:rPr>
                <w:rFonts w:ascii="Times New Roman" w:hAnsi="Times New Roman" w:cs="Times New Roman"/>
                <w:sz w:val="24"/>
                <w:szCs w:val="24"/>
                <w:lang w:eastAsia="uk-UA"/>
              </w:rPr>
              <w:t xml:space="preserve"> R020(GR101)/T020(1), </w:t>
            </w:r>
            <w:r w:rsidR="00901AFB" w:rsidRPr="00E7583B">
              <w:rPr>
                <w:rFonts w:ascii="Times New Roman" w:hAnsi="Times New Roman" w:cs="Times New Roman"/>
                <w:sz w:val="24"/>
                <w:szCs w:val="24"/>
                <w:lang w:eastAsia="uk-UA"/>
              </w:rPr>
              <w:t>R020(</w:t>
            </w:r>
            <w:r w:rsidR="00B66B96" w:rsidRPr="00E7583B">
              <w:rPr>
                <w:rFonts w:ascii="Times New Roman" w:hAnsi="Times New Roman" w:cs="Times New Roman"/>
                <w:sz w:val="24"/>
                <w:szCs w:val="24"/>
                <w:lang w:eastAsia="uk-UA"/>
              </w:rPr>
              <w:t>GR</w:t>
            </w:r>
            <w:r w:rsidR="00C87E6A" w:rsidRPr="00E7583B">
              <w:rPr>
                <w:rFonts w:ascii="Times New Roman" w:hAnsi="Times New Roman" w:cs="Times New Roman"/>
                <w:sz w:val="24"/>
                <w:szCs w:val="24"/>
                <w:lang w:eastAsia="uk-UA"/>
              </w:rPr>
              <w:t>109)/T020(2),</w:t>
            </w:r>
            <w:r w:rsidR="003B5E87" w:rsidRPr="00E7583B">
              <w:rPr>
                <w:rFonts w:ascii="Times New Roman" w:hAnsi="Times New Roman" w:cs="Times New Roman"/>
                <w:sz w:val="24"/>
                <w:szCs w:val="24"/>
                <w:lang w:eastAsia="uk-UA"/>
              </w:rPr>
              <w:t xml:space="preserve"> R020(GR110)/T020(1), </w:t>
            </w:r>
            <w:r w:rsidR="00901AFB" w:rsidRPr="00E7583B">
              <w:rPr>
                <w:rFonts w:ascii="Times New Roman" w:hAnsi="Times New Roman" w:cs="Times New Roman"/>
                <w:sz w:val="24"/>
                <w:szCs w:val="24"/>
                <w:lang w:eastAsia="uk-UA"/>
              </w:rPr>
              <w:t>R020(</w:t>
            </w:r>
            <w:r w:rsidR="00720E25" w:rsidRPr="00E7583B">
              <w:rPr>
                <w:rFonts w:ascii="Times New Roman" w:hAnsi="Times New Roman" w:cs="Times New Roman"/>
                <w:sz w:val="24"/>
                <w:szCs w:val="24"/>
                <w:lang w:eastAsia="uk-UA"/>
              </w:rPr>
              <w:t>GR</w:t>
            </w:r>
            <w:r w:rsidR="003B5E87" w:rsidRPr="00E7583B">
              <w:rPr>
                <w:rFonts w:ascii="Times New Roman" w:hAnsi="Times New Roman" w:cs="Times New Roman"/>
                <w:sz w:val="24"/>
                <w:szCs w:val="24"/>
                <w:lang w:eastAsia="uk-UA"/>
              </w:rPr>
              <w:t>119)/T020(2),</w:t>
            </w:r>
            <w:r w:rsidR="00F62586" w:rsidRPr="00E7583B">
              <w:rPr>
                <w:rFonts w:ascii="Times New Roman" w:hAnsi="Times New Roman" w:cs="Times New Roman"/>
                <w:sz w:val="24"/>
                <w:szCs w:val="24"/>
                <w:lang w:eastAsia="uk-UA"/>
              </w:rPr>
              <w:t xml:space="preserve"> R020(GR120)/T020(1), R020(GR121)/T020(1</w:t>
            </w:r>
            <w:r w:rsidR="00223CD3" w:rsidRPr="00E7583B">
              <w:rPr>
                <w:rFonts w:ascii="Times New Roman" w:hAnsi="Times New Roman" w:cs="Times New Roman"/>
                <w:sz w:val="24"/>
                <w:szCs w:val="24"/>
                <w:lang w:eastAsia="uk-UA"/>
              </w:rPr>
              <w:t>,2</w:t>
            </w:r>
            <w:r w:rsidR="00F62586" w:rsidRPr="00E7583B">
              <w:rPr>
                <w:rFonts w:ascii="Times New Roman" w:hAnsi="Times New Roman" w:cs="Times New Roman"/>
                <w:sz w:val="24"/>
                <w:szCs w:val="24"/>
                <w:lang w:eastAsia="uk-UA"/>
              </w:rPr>
              <w:t>),</w:t>
            </w:r>
            <w:r w:rsidR="00223CD3" w:rsidRPr="00E7583B">
              <w:rPr>
                <w:rFonts w:ascii="Times New Roman" w:hAnsi="Times New Roman" w:cs="Times New Roman"/>
                <w:sz w:val="24"/>
                <w:szCs w:val="24"/>
                <w:lang w:eastAsia="uk-UA"/>
              </w:rPr>
              <w:t xml:space="preserve"> R020(GR140)/T020(1,2),</w:t>
            </w:r>
            <w:r w:rsidR="00565407" w:rsidRPr="00E7583B">
              <w:rPr>
                <w:rFonts w:ascii="Times New Roman" w:hAnsi="Times New Roman" w:cs="Times New Roman"/>
                <w:sz w:val="24"/>
                <w:szCs w:val="24"/>
                <w:lang w:eastAsia="uk-UA"/>
              </w:rPr>
              <w:t xml:space="preserve"> R020(GR141)/T020(1,2), R020(GR142)/T020(1,2), R020(GR143)/T020(1,2), R020(GR144)/T020(1,2), R020(GR</w:t>
            </w:r>
            <w:r w:rsidR="007F03F8" w:rsidRPr="00E7583B">
              <w:rPr>
                <w:rFonts w:ascii="Times New Roman" w:hAnsi="Times New Roman" w:cs="Times New Roman"/>
                <w:sz w:val="24"/>
                <w:szCs w:val="24"/>
                <w:lang w:eastAsia="uk-UA"/>
              </w:rPr>
              <w:t>145</w:t>
            </w:r>
            <w:r w:rsidR="00565407" w:rsidRPr="00E7583B">
              <w:rPr>
                <w:rFonts w:ascii="Times New Roman" w:hAnsi="Times New Roman" w:cs="Times New Roman"/>
                <w:sz w:val="24"/>
                <w:szCs w:val="24"/>
                <w:lang w:eastAsia="uk-UA"/>
              </w:rPr>
              <w:t>)/T020(1,2),</w:t>
            </w:r>
            <w:r w:rsidR="004228D6" w:rsidRPr="00E7583B">
              <w:rPr>
                <w:rFonts w:ascii="Times New Roman" w:hAnsi="Times New Roman" w:cs="Times New Roman"/>
                <w:sz w:val="24"/>
                <w:szCs w:val="24"/>
                <w:lang w:eastAsia="uk-UA"/>
              </w:rPr>
              <w:t xml:space="preserve"> R020(1500)/T020(1), R020(1502)/T020(1),</w:t>
            </w:r>
            <w:r w:rsidR="00A1055A" w:rsidRPr="00E7583B">
              <w:rPr>
                <w:rFonts w:ascii="Times New Roman" w:hAnsi="Times New Roman" w:cs="Times New Roman"/>
                <w:sz w:val="24"/>
                <w:szCs w:val="24"/>
                <w:lang w:eastAsia="uk-UA"/>
              </w:rPr>
              <w:t xml:space="preserve"> R020(1508)/T020(1,2), R020(1509)/T020(2),</w:t>
            </w:r>
            <w:r w:rsidR="008615AA" w:rsidRPr="00E7583B">
              <w:rPr>
                <w:rFonts w:ascii="Times New Roman" w:hAnsi="Times New Roman" w:cs="Times New Roman"/>
                <w:sz w:val="24"/>
                <w:szCs w:val="24"/>
                <w:lang w:eastAsia="uk-UA"/>
              </w:rPr>
              <w:t xml:space="preserve"> R020(GR151)/T020(1,2), R020(GR</w:t>
            </w:r>
            <w:r w:rsidR="00AD0927" w:rsidRPr="00E7583B">
              <w:rPr>
                <w:rFonts w:ascii="Times New Roman" w:hAnsi="Times New Roman" w:cs="Times New Roman"/>
                <w:sz w:val="24"/>
                <w:szCs w:val="24"/>
                <w:lang w:eastAsia="uk-UA"/>
              </w:rPr>
              <w:t>152</w:t>
            </w:r>
            <w:r w:rsidR="008615AA" w:rsidRPr="00E7583B">
              <w:rPr>
                <w:rFonts w:ascii="Times New Roman" w:hAnsi="Times New Roman" w:cs="Times New Roman"/>
                <w:sz w:val="24"/>
                <w:szCs w:val="24"/>
                <w:lang w:eastAsia="uk-UA"/>
              </w:rPr>
              <w:t>)/T020(1,2),</w:t>
            </w:r>
            <w:r w:rsidR="00AD0927" w:rsidRPr="00E7583B">
              <w:rPr>
                <w:rFonts w:ascii="Times New Roman" w:hAnsi="Times New Roman" w:cs="Times New Roman"/>
                <w:sz w:val="24"/>
                <w:szCs w:val="24"/>
                <w:lang w:eastAsia="uk-UA"/>
              </w:rPr>
              <w:t xml:space="preserve"> R020(GR153)/T020(1,2), R020(GR154)/T020(1,2),</w:t>
            </w:r>
            <w:r w:rsidR="00CA08AE" w:rsidRPr="00E7583B">
              <w:rPr>
                <w:rFonts w:ascii="Times New Roman" w:hAnsi="Times New Roman" w:cs="Times New Roman"/>
                <w:sz w:val="24"/>
                <w:szCs w:val="24"/>
                <w:lang w:eastAsia="uk-UA"/>
              </w:rPr>
              <w:t xml:space="preserve"> R020(1600)/T020(1), R020(16</w:t>
            </w:r>
            <w:r w:rsidR="004342B5" w:rsidRPr="00E7583B">
              <w:rPr>
                <w:rFonts w:ascii="Times New Roman" w:hAnsi="Times New Roman" w:cs="Times New Roman"/>
                <w:sz w:val="24"/>
                <w:szCs w:val="24"/>
                <w:lang w:eastAsia="uk-UA"/>
              </w:rPr>
              <w:t>07</w:t>
            </w:r>
            <w:r w:rsidR="00CA08AE" w:rsidRPr="00E7583B">
              <w:rPr>
                <w:rFonts w:ascii="Times New Roman" w:hAnsi="Times New Roman" w:cs="Times New Roman"/>
                <w:sz w:val="24"/>
                <w:szCs w:val="24"/>
                <w:lang w:eastAsia="uk-UA"/>
              </w:rPr>
              <w:t>)/T020(1),</w:t>
            </w:r>
            <w:r w:rsidR="0019282E" w:rsidRPr="00E7583B">
              <w:rPr>
                <w:rFonts w:ascii="Times New Roman" w:hAnsi="Times New Roman" w:cs="Times New Roman"/>
                <w:sz w:val="24"/>
                <w:szCs w:val="24"/>
                <w:lang w:eastAsia="uk-UA"/>
              </w:rPr>
              <w:t xml:space="preserve"> R020(1609)/T020(</w:t>
            </w:r>
            <w:r w:rsidR="004342B5" w:rsidRPr="00E7583B">
              <w:rPr>
                <w:rFonts w:ascii="Times New Roman" w:hAnsi="Times New Roman" w:cs="Times New Roman"/>
                <w:sz w:val="24"/>
                <w:szCs w:val="24"/>
                <w:lang w:eastAsia="uk-UA"/>
              </w:rPr>
              <w:t xml:space="preserve">2), </w:t>
            </w:r>
            <w:r w:rsidR="00542C94" w:rsidRPr="00E7583B">
              <w:rPr>
                <w:rFonts w:ascii="Times New Roman" w:hAnsi="Times New Roman" w:cs="Times New Roman"/>
                <w:sz w:val="24"/>
                <w:szCs w:val="24"/>
                <w:lang w:eastAsia="uk-UA"/>
              </w:rPr>
              <w:t>R020(GR181)/T020(1),</w:t>
            </w:r>
            <w:r w:rsidR="00483C8D" w:rsidRPr="00E7583B">
              <w:rPr>
                <w:rFonts w:ascii="Times New Roman" w:hAnsi="Times New Roman" w:cs="Times New Roman"/>
                <w:sz w:val="24"/>
                <w:szCs w:val="24"/>
                <w:lang w:eastAsia="uk-UA"/>
              </w:rPr>
              <w:t xml:space="preserve"> R020(GR183)/T020(1,2),</w:t>
            </w:r>
            <w:r w:rsidR="0010101B" w:rsidRPr="00E7583B">
              <w:rPr>
                <w:rFonts w:ascii="Times New Roman" w:hAnsi="Times New Roman" w:cs="Times New Roman"/>
                <w:sz w:val="24"/>
                <w:szCs w:val="24"/>
                <w:lang w:eastAsia="uk-UA"/>
              </w:rPr>
              <w:t xml:space="preserve"> R020(GR189</w:t>
            </w:r>
            <w:r w:rsidR="00901AFB" w:rsidRPr="00E7583B">
              <w:rPr>
                <w:rFonts w:ascii="Times New Roman" w:hAnsi="Times New Roman" w:cs="Times New Roman"/>
                <w:sz w:val="24"/>
                <w:szCs w:val="24"/>
                <w:lang w:eastAsia="uk-UA"/>
              </w:rPr>
              <w:t>)/T020(2),</w:t>
            </w:r>
            <w:r w:rsidR="00E64E51">
              <w:rPr>
                <w:rFonts w:ascii="Times New Roman" w:hAnsi="Times New Roman" w:cs="Times New Roman"/>
                <w:sz w:val="24"/>
                <w:szCs w:val="24"/>
                <w:lang w:eastAsia="uk-UA"/>
              </w:rPr>
              <w:t xml:space="preserve"> </w:t>
            </w:r>
            <w:r w:rsidR="004C2D7C" w:rsidRPr="00E7583B">
              <w:rPr>
                <w:rFonts w:ascii="Times New Roman" w:hAnsi="Times New Roman" w:cs="Times New Roman"/>
                <w:sz w:val="24"/>
                <w:szCs w:val="24"/>
                <w:lang w:eastAsia="uk-UA"/>
              </w:rPr>
              <w:t>R020(GR</w:t>
            </w:r>
            <w:r w:rsidR="00EA4219" w:rsidRPr="00E7583B">
              <w:rPr>
                <w:rFonts w:ascii="Times New Roman" w:hAnsi="Times New Roman" w:cs="Times New Roman"/>
                <w:sz w:val="24"/>
                <w:szCs w:val="24"/>
                <w:lang w:eastAsia="uk-UA"/>
              </w:rPr>
              <w:t>201</w:t>
            </w:r>
            <w:r w:rsidR="004C2D7C" w:rsidRPr="00E7583B">
              <w:rPr>
                <w:rFonts w:ascii="Times New Roman" w:hAnsi="Times New Roman" w:cs="Times New Roman"/>
                <w:sz w:val="24"/>
                <w:szCs w:val="24"/>
                <w:lang w:eastAsia="uk-UA"/>
              </w:rPr>
              <w:t>)/T020(1,2),</w:t>
            </w:r>
            <w:r w:rsidR="00E64E51">
              <w:rPr>
                <w:rFonts w:ascii="Times New Roman" w:hAnsi="Times New Roman" w:cs="Times New Roman"/>
                <w:sz w:val="24"/>
                <w:szCs w:val="24"/>
                <w:lang w:eastAsia="uk-UA"/>
              </w:rPr>
              <w:t xml:space="preserve"> </w:t>
            </w:r>
            <w:r w:rsidR="001D288B" w:rsidRPr="00E7583B">
              <w:rPr>
                <w:rFonts w:ascii="Times New Roman" w:hAnsi="Times New Roman" w:cs="Times New Roman"/>
                <w:sz w:val="24"/>
                <w:szCs w:val="24"/>
                <w:lang w:eastAsia="uk-UA"/>
              </w:rPr>
              <w:t>R020(GR202)/T020(1,2),</w:t>
            </w:r>
            <w:r w:rsidR="00EA4219" w:rsidRPr="00E7583B">
              <w:rPr>
                <w:rFonts w:ascii="Times New Roman" w:hAnsi="Times New Roman" w:cs="Times New Roman"/>
                <w:sz w:val="24"/>
                <w:szCs w:val="24"/>
                <w:lang w:eastAsia="uk-UA"/>
              </w:rPr>
              <w:t xml:space="preserve"> R020(GR203)/T020(1,2), R020(GR204)/T020(1,2),</w:t>
            </w:r>
            <w:r w:rsidR="00863DDF" w:rsidRPr="00E7583B">
              <w:rPr>
                <w:rFonts w:ascii="Times New Roman" w:hAnsi="Times New Roman" w:cs="Times New Roman"/>
                <w:sz w:val="24"/>
                <w:szCs w:val="24"/>
                <w:lang w:eastAsia="uk-UA"/>
              </w:rPr>
              <w:t xml:space="preserve"> R020(GR206)/T020(1,2), R020(GR207)/T020(1,2), R020(GR208)/T020(1,2), R020(GR210)/T020(1,2), R020(GR</w:t>
            </w:r>
            <w:r w:rsidR="0026264D" w:rsidRPr="00E7583B">
              <w:rPr>
                <w:rFonts w:ascii="Times New Roman" w:hAnsi="Times New Roman" w:cs="Times New Roman"/>
                <w:sz w:val="24"/>
                <w:szCs w:val="24"/>
                <w:lang w:eastAsia="uk-UA"/>
              </w:rPr>
              <w:t>211</w:t>
            </w:r>
            <w:r w:rsidR="00863DDF" w:rsidRPr="00E7583B">
              <w:rPr>
                <w:rFonts w:ascii="Times New Roman" w:hAnsi="Times New Roman" w:cs="Times New Roman"/>
                <w:sz w:val="24"/>
                <w:szCs w:val="24"/>
                <w:lang w:eastAsia="uk-UA"/>
              </w:rPr>
              <w:t>)/T020(1,2),</w:t>
            </w:r>
            <w:r w:rsidR="0026264D" w:rsidRPr="00E7583B">
              <w:rPr>
                <w:rFonts w:ascii="Times New Roman" w:hAnsi="Times New Roman" w:cs="Times New Roman"/>
                <w:sz w:val="24"/>
                <w:szCs w:val="24"/>
                <w:lang w:eastAsia="uk-UA"/>
              </w:rPr>
              <w:t xml:space="preserve"> R020(GR212)/T020(1,2), R020(GR213)/T020(1,2), R020(GR214)/T020(1,2), R020(GR220)/T020(1,2), R020(GR221)/T020(1,2), R020(GR222)/T020(1,2), R020(GR223)/T020(1,2), R020(GR224)/T020(1,2), R020(GR226)/T020(1,2),</w:t>
            </w:r>
            <w:r w:rsidR="00394F34" w:rsidRPr="00E7583B">
              <w:rPr>
                <w:rFonts w:ascii="Times New Roman" w:hAnsi="Times New Roman" w:cs="Times New Roman"/>
                <w:sz w:val="24"/>
                <w:szCs w:val="24"/>
                <w:lang w:eastAsia="uk-UA"/>
              </w:rPr>
              <w:t xml:space="preserve"> R020(GR230)/T020(1,2), R020(GR231)/T020(1,2), R020(GR232)/T020(1,2), R020(GR233)/T020(1,2), </w:t>
            </w:r>
            <w:r w:rsidR="00394F34" w:rsidRPr="00E7583B">
              <w:rPr>
                <w:rFonts w:ascii="Times New Roman" w:hAnsi="Times New Roman" w:cs="Times New Roman"/>
                <w:sz w:val="24"/>
                <w:szCs w:val="24"/>
                <w:lang w:eastAsia="uk-UA"/>
              </w:rPr>
              <w:lastRenderedPageBreak/>
              <w:t>R020(GR234)/T020(1,2), R020(GR235)/T020(1,2), R020(GR236)/T020(1,2), R020(GR237)/T020(1,2), R020(GR238)/T020(1,2), R020(GR239)/T020(1,2),</w:t>
            </w:r>
            <w:r w:rsidR="005D2985" w:rsidRPr="00E7583B">
              <w:rPr>
                <w:rFonts w:ascii="Times New Roman" w:hAnsi="Times New Roman" w:cs="Times New Roman"/>
                <w:sz w:val="24"/>
                <w:szCs w:val="24"/>
                <w:lang w:eastAsia="uk-UA"/>
              </w:rPr>
              <w:t xml:space="preserve"> R020(GR240)/T020(1,2), R020(GR241)/T020(1,2), R020(GR242)/T020(1,2), R020(GR243)/T020(1,2), R020(GR244)/T020(1,2), R020(GR245)/T020(1,2),</w:t>
            </w:r>
            <w:r w:rsidR="002E36EF" w:rsidRPr="00E7583B">
              <w:rPr>
                <w:rFonts w:ascii="Times New Roman" w:hAnsi="Times New Roman" w:cs="Times New Roman"/>
                <w:sz w:val="24"/>
                <w:szCs w:val="24"/>
                <w:lang w:eastAsia="uk-UA"/>
              </w:rPr>
              <w:t xml:space="preserve"> R020(2600)/T020(1), R020(2607)/T020(1),</w:t>
            </w:r>
            <w:r w:rsidR="00B4285A" w:rsidRPr="00E7583B">
              <w:rPr>
                <w:rFonts w:ascii="Times New Roman" w:hAnsi="Times New Roman" w:cs="Times New Roman"/>
                <w:sz w:val="24"/>
                <w:szCs w:val="24"/>
                <w:lang w:eastAsia="uk-UA"/>
              </w:rPr>
              <w:t xml:space="preserve"> R020(</w:t>
            </w:r>
            <w:r w:rsidR="00465778" w:rsidRPr="00E7583B">
              <w:rPr>
                <w:rFonts w:ascii="Times New Roman" w:hAnsi="Times New Roman" w:cs="Times New Roman"/>
                <w:sz w:val="24"/>
                <w:szCs w:val="24"/>
                <w:lang w:eastAsia="uk-UA"/>
              </w:rPr>
              <w:t>2609)/T020(2</w:t>
            </w:r>
            <w:r w:rsidR="00B4285A" w:rsidRPr="00E7583B">
              <w:rPr>
                <w:rFonts w:ascii="Times New Roman" w:hAnsi="Times New Roman" w:cs="Times New Roman"/>
                <w:sz w:val="24"/>
                <w:szCs w:val="24"/>
                <w:lang w:eastAsia="uk-UA"/>
              </w:rPr>
              <w:t>),</w:t>
            </w:r>
            <w:r w:rsidR="00914115" w:rsidRPr="00E7583B">
              <w:rPr>
                <w:rFonts w:ascii="Times New Roman" w:hAnsi="Times New Roman" w:cs="Times New Roman"/>
                <w:sz w:val="24"/>
                <w:szCs w:val="24"/>
                <w:lang w:eastAsia="uk-UA"/>
              </w:rPr>
              <w:t xml:space="preserve"> R020(2620)/T020(1), R020(2621)/T020(1),</w:t>
            </w:r>
            <w:r w:rsidR="00FF617B" w:rsidRPr="00E7583B">
              <w:rPr>
                <w:rFonts w:ascii="Times New Roman" w:hAnsi="Times New Roman" w:cs="Times New Roman"/>
                <w:sz w:val="24"/>
                <w:szCs w:val="24"/>
                <w:lang w:eastAsia="uk-UA"/>
              </w:rPr>
              <w:t xml:space="preserve"> R020(2627)/T020(1), R020(2629)/T020(2),</w:t>
            </w:r>
            <w:r w:rsidR="00416AF0" w:rsidRPr="00E7583B">
              <w:rPr>
                <w:rFonts w:ascii="Times New Roman" w:hAnsi="Times New Roman" w:cs="Times New Roman"/>
                <w:sz w:val="24"/>
                <w:szCs w:val="24"/>
                <w:lang w:eastAsia="uk-UA"/>
              </w:rPr>
              <w:t xml:space="preserve"> R020(2650)/T020(1), </w:t>
            </w:r>
            <w:r w:rsidR="000A6EB9" w:rsidRPr="00E7583B">
              <w:rPr>
                <w:rFonts w:ascii="Times New Roman" w:hAnsi="Times New Roman" w:cs="Times New Roman"/>
                <w:sz w:val="24"/>
                <w:szCs w:val="24"/>
                <w:lang w:eastAsia="uk-UA"/>
              </w:rPr>
              <w:t>R020(2657)/T020(1), R020(2659)/T020(2),</w:t>
            </w:r>
            <w:r w:rsidR="00AF5A99" w:rsidRPr="00E7583B">
              <w:rPr>
                <w:rFonts w:ascii="Times New Roman" w:hAnsi="Times New Roman" w:cs="Times New Roman"/>
                <w:sz w:val="24"/>
                <w:szCs w:val="24"/>
                <w:lang w:eastAsia="uk-UA"/>
              </w:rPr>
              <w:t xml:space="preserve"> R020(GR280)/T020(1), R020(</w:t>
            </w:r>
            <w:r w:rsidR="000345C4" w:rsidRPr="00E7583B">
              <w:rPr>
                <w:rFonts w:ascii="Times New Roman" w:hAnsi="Times New Roman" w:cs="Times New Roman"/>
                <w:sz w:val="24"/>
                <w:szCs w:val="24"/>
                <w:lang w:eastAsia="uk-UA"/>
              </w:rPr>
              <w:t>GR289</w:t>
            </w:r>
            <w:r w:rsidR="00AF5A99" w:rsidRPr="00E7583B">
              <w:rPr>
                <w:rFonts w:ascii="Times New Roman" w:hAnsi="Times New Roman" w:cs="Times New Roman"/>
                <w:sz w:val="24"/>
                <w:szCs w:val="24"/>
                <w:lang w:eastAsia="uk-UA"/>
              </w:rPr>
              <w:t>)/T020(2),</w:t>
            </w:r>
            <w:r w:rsidR="00BF1BF6" w:rsidRPr="00E7583B">
              <w:rPr>
                <w:rFonts w:ascii="Times New Roman" w:hAnsi="Times New Roman" w:cs="Times New Roman"/>
                <w:sz w:val="24"/>
                <w:szCs w:val="24"/>
                <w:lang w:eastAsia="uk-UA"/>
              </w:rPr>
              <w:t xml:space="preserve"> R020(GR292)/T020(1), R020(GR30</w:t>
            </w:r>
            <w:r w:rsidR="00D41842" w:rsidRPr="00E7583B">
              <w:rPr>
                <w:rFonts w:ascii="Times New Roman" w:hAnsi="Times New Roman" w:cs="Times New Roman"/>
                <w:sz w:val="24"/>
                <w:szCs w:val="24"/>
                <w:lang w:eastAsia="uk-UA"/>
              </w:rPr>
              <w:t>0</w:t>
            </w:r>
            <w:r w:rsidR="00BF1BF6" w:rsidRPr="00E7583B">
              <w:rPr>
                <w:rFonts w:ascii="Times New Roman" w:hAnsi="Times New Roman" w:cs="Times New Roman"/>
                <w:sz w:val="24"/>
                <w:szCs w:val="24"/>
                <w:lang w:eastAsia="uk-UA"/>
              </w:rPr>
              <w:t>)/T020(1</w:t>
            </w:r>
            <w:r w:rsidR="00D41842" w:rsidRPr="00E7583B">
              <w:rPr>
                <w:rFonts w:ascii="Times New Roman" w:hAnsi="Times New Roman" w:cs="Times New Roman"/>
                <w:sz w:val="24"/>
                <w:szCs w:val="24"/>
                <w:lang w:eastAsia="uk-UA"/>
              </w:rPr>
              <w:t>,2</w:t>
            </w:r>
            <w:r w:rsidR="00BF1BF6" w:rsidRPr="00E7583B">
              <w:rPr>
                <w:rFonts w:ascii="Times New Roman" w:hAnsi="Times New Roman" w:cs="Times New Roman"/>
                <w:sz w:val="24"/>
                <w:szCs w:val="24"/>
                <w:lang w:eastAsia="uk-UA"/>
              </w:rPr>
              <w:t>),</w:t>
            </w:r>
            <w:r w:rsidR="00D41842" w:rsidRPr="00E7583B">
              <w:rPr>
                <w:rFonts w:ascii="Times New Roman" w:hAnsi="Times New Roman" w:cs="Times New Roman"/>
                <w:sz w:val="24"/>
                <w:szCs w:val="24"/>
                <w:lang w:eastAsia="uk-UA"/>
              </w:rPr>
              <w:t xml:space="preserve"> R020(GR301)/T020(1,2),</w:t>
            </w:r>
            <w:r w:rsidR="00CC1E1D" w:rsidRPr="00E7583B">
              <w:rPr>
                <w:rFonts w:ascii="Times New Roman" w:hAnsi="Times New Roman" w:cs="Times New Roman"/>
                <w:sz w:val="24"/>
                <w:szCs w:val="24"/>
                <w:lang w:eastAsia="uk-UA"/>
              </w:rPr>
              <w:t xml:space="preserve"> R020(GR</w:t>
            </w:r>
            <w:r w:rsidR="003E2197" w:rsidRPr="00E7583B">
              <w:rPr>
                <w:rFonts w:ascii="Times New Roman" w:hAnsi="Times New Roman" w:cs="Times New Roman"/>
                <w:sz w:val="24"/>
                <w:szCs w:val="24"/>
                <w:lang w:eastAsia="uk-UA"/>
              </w:rPr>
              <w:t>310</w:t>
            </w:r>
            <w:r w:rsidR="00CC1E1D" w:rsidRPr="00E7583B">
              <w:rPr>
                <w:rFonts w:ascii="Times New Roman" w:hAnsi="Times New Roman" w:cs="Times New Roman"/>
                <w:sz w:val="24"/>
                <w:szCs w:val="24"/>
                <w:lang w:eastAsia="uk-UA"/>
              </w:rPr>
              <w:t>)/T020(1,2),</w:t>
            </w:r>
            <w:r w:rsidR="003E2197" w:rsidRPr="00E7583B">
              <w:rPr>
                <w:rFonts w:ascii="Times New Roman" w:hAnsi="Times New Roman" w:cs="Times New Roman"/>
                <w:sz w:val="24"/>
                <w:szCs w:val="24"/>
                <w:lang w:eastAsia="uk-UA"/>
              </w:rPr>
              <w:t xml:space="preserve"> R020(GR311)/T020(1,2),</w:t>
            </w:r>
            <w:r w:rsidR="00E46C4B" w:rsidRPr="00E7583B">
              <w:rPr>
                <w:rFonts w:ascii="Times New Roman" w:hAnsi="Times New Roman" w:cs="Times New Roman"/>
                <w:sz w:val="24"/>
                <w:szCs w:val="24"/>
                <w:lang w:eastAsia="uk-UA"/>
              </w:rPr>
              <w:t xml:space="preserve"> R020(GR321)/T020(1,2),</w:t>
            </w:r>
            <w:r w:rsidR="00FF6C61" w:rsidRPr="00E7583B">
              <w:rPr>
                <w:rFonts w:ascii="Times New Roman" w:hAnsi="Times New Roman" w:cs="Times New Roman"/>
                <w:sz w:val="24"/>
                <w:szCs w:val="24"/>
                <w:lang w:eastAsia="uk-UA"/>
              </w:rPr>
              <w:t xml:space="preserve"> R020(GR340)/T020(1), R020(GR341)/T020(1), R020(GR342)/T020(1),</w:t>
            </w:r>
            <w:r w:rsidR="00804DB0" w:rsidRPr="00E7583B">
              <w:rPr>
                <w:rFonts w:ascii="Times New Roman" w:hAnsi="Times New Roman" w:cs="Times New Roman"/>
                <w:sz w:val="24"/>
                <w:szCs w:val="24"/>
                <w:lang w:eastAsia="uk-UA"/>
              </w:rPr>
              <w:t xml:space="preserve"> R020(</w:t>
            </w:r>
            <w:r w:rsidR="0050766D" w:rsidRPr="00E7583B">
              <w:rPr>
                <w:rFonts w:ascii="Times New Roman" w:hAnsi="Times New Roman" w:cs="Times New Roman"/>
                <w:sz w:val="24"/>
                <w:szCs w:val="24"/>
                <w:lang w:eastAsia="uk-UA"/>
              </w:rPr>
              <w:t>GR350</w:t>
            </w:r>
            <w:r w:rsidR="00804DB0" w:rsidRPr="00E7583B">
              <w:rPr>
                <w:rFonts w:ascii="Times New Roman" w:hAnsi="Times New Roman" w:cs="Times New Roman"/>
                <w:sz w:val="24"/>
                <w:szCs w:val="24"/>
                <w:lang w:eastAsia="uk-UA"/>
              </w:rPr>
              <w:t>)/T020(1), R020(GR351)/T020(1),</w:t>
            </w:r>
            <w:r w:rsidR="0050766D" w:rsidRPr="00E7583B">
              <w:rPr>
                <w:rFonts w:ascii="Times New Roman" w:hAnsi="Times New Roman" w:cs="Times New Roman"/>
                <w:sz w:val="24"/>
                <w:szCs w:val="24"/>
                <w:lang w:eastAsia="uk-UA"/>
              </w:rPr>
              <w:t xml:space="preserve"> </w:t>
            </w:r>
            <w:r w:rsidR="001D003F" w:rsidRPr="00E7583B">
              <w:rPr>
                <w:rFonts w:ascii="Times New Roman" w:hAnsi="Times New Roman" w:cs="Times New Roman"/>
                <w:sz w:val="24"/>
                <w:szCs w:val="24"/>
                <w:lang w:eastAsia="uk-UA"/>
              </w:rPr>
              <w:t>R020(GR352)/T020(1),</w:t>
            </w:r>
            <w:r w:rsidR="00997D5E" w:rsidRPr="00E7583B">
              <w:rPr>
                <w:rFonts w:ascii="Times New Roman" w:hAnsi="Times New Roman" w:cs="Times New Roman"/>
                <w:sz w:val="24"/>
                <w:szCs w:val="24"/>
                <w:lang w:eastAsia="uk-UA"/>
              </w:rPr>
              <w:t xml:space="preserve"> </w:t>
            </w:r>
            <w:r w:rsidR="006B1BCC" w:rsidRPr="00E7583B">
              <w:rPr>
                <w:rFonts w:ascii="Times New Roman" w:hAnsi="Times New Roman" w:cs="Times New Roman"/>
                <w:sz w:val="24"/>
                <w:szCs w:val="24"/>
                <w:lang w:eastAsia="uk-UA"/>
              </w:rPr>
              <w:t>R020(GR354)/T020(1),</w:t>
            </w:r>
            <w:r w:rsidR="0050766D" w:rsidRPr="00E7583B">
              <w:rPr>
                <w:rFonts w:ascii="Times New Roman" w:hAnsi="Times New Roman" w:cs="Times New Roman"/>
                <w:sz w:val="24"/>
                <w:szCs w:val="24"/>
                <w:lang w:eastAsia="uk-UA"/>
              </w:rPr>
              <w:t xml:space="preserve"> </w:t>
            </w:r>
            <w:r w:rsidR="00997D5E" w:rsidRPr="00E7583B">
              <w:rPr>
                <w:rFonts w:ascii="Times New Roman" w:hAnsi="Times New Roman" w:cs="Times New Roman"/>
                <w:sz w:val="24"/>
                <w:szCs w:val="24"/>
                <w:lang w:eastAsia="uk-UA"/>
              </w:rPr>
              <w:t>R020(GR355)/T020(1), R020(GR356)/T020(1,2), R020(GR357)/T020(1),</w:t>
            </w:r>
            <w:r w:rsidR="00D37720" w:rsidRPr="00E7583B">
              <w:rPr>
                <w:rFonts w:ascii="Times New Roman" w:hAnsi="Times New Roman" w:cs="Times New Roman"/>
                <w:sz w:val="24"/>
                <w:szCs w:val="24"/>
                <w:lang w:eastAsia="uk-UA"/>
              </w:rPr>
              <w:t xml:space="preserve"> R020(GR359)/T020(2</w:t>
            </w:r>
            <w:r w:rsidR="009B1BF7" w:rsidRPr="00E7583B">
              <w:rPr>
                <w:rFonts w:ascii="Times New Roman" w:hAnsi="Times New Roman" w:cs="Times New Roman"/>
                <w:sz w:val="24"/>
                <w:szCs w:val="24"/>
                <w:lang w:eastAsia="uk-UA"/>
              </w:rPr>
              <w:t>), R020(GR370)/T020(1), R020(</w:t>
            </w:r>
            <w:r w:rsidR="001103EA" w:rsidRPr="00E7583B">
              <w:rPr>
                <w:rFonts w:ascii="Times New Roman" w:hAnsi="Times New Roman" w:cs="Times New Roman"/>
                <w:sz w:val="24"/>
                <w:szCs w:val="24"/>
                <w:lang w:eastAsia="uk-UA"/>
              </w:rPr>
              <w:t>GR371</w:t>
            </w:r>
            <w:r w:rsidR="009B1BF7" w:rsidRPr="00E7583B">
              <w:rPr>
                <w:rFonts w:ascii="Times New Roman" w:hAnsi="Times New Roman" w:cs="Times New Roman"/>
                <w:sz w:val="24"/>
                <w:szCs w:val="24"/>
                <w:lang w:eastAsia="uk-UA"/>
              </w:rPr>
              <w:t>)/T020(1),</w:t>
            </w:r>
            <w:r w:rsidR="00947965" w:rsidRPr="00E7583B">
              <w:rPr>
                <w:rFonts w:ascii="Times New Roman" w:hAnsi="Times New Roman" w:cs="Times New Roman"/>
                <w:sz w:val="24"/>
                <w:szCs w:val="24"/>
                <w:lang w:eastAsia="uk-UA"/>
              </w:rPr>
              <w:t xml:space="preserve"> R020(</w:t>
            </w:r>
            <w:r w:rsidR="003B5388" w:rsidRPr="00E7583B">
              <w:rPr>
                <w:rFonts w:ascii="Times New Roman" w:hAnsi="Times New Roman" w:cs="Times New Roman"/>
                <w:sz w:val="24"/>
                <w:szCs w:val="24"/>
                <w:lang w:eastAsia="uk-UA"/>
              </w:rPr>
              <w:t>GR373</w:t>
            </w:r>
            <w:r w:rsidR="00947965" w:rsidRPr="00E7583B">
              <w:rPr>
                <w:rFonts w:ascii="Times New Roman" w:hAnsi="Times New Roman" w:cs="Times New Roman"/>
                <w:sz w:val="24"/>
                <w:szCs w:val="24"/>
                <w:lang w:eastAsia="uk-UA"/>
              </w:rPr>
              <w:t>)/T020(1), R020(GR</w:t>
            </w:r>
            <w:r w:rsidR="00C137E2" w:rsidRPr="00E7583B">
              <w:rPr>
                <w:rFonts w:ascii="Times New Roman" w:hAnsi="Times New Roman" w:cs="Times New Roman"/>
                <w:sz w:val="24"/>
                <w:szCs w:val="24"/>
                <w:lang w:eastAsia="uk-UA"/>
              </w:rPr>
              <w:t>410</w:t>
            </w:r>
            <w:r w:rsidR="00947965" w:rsidRPr="00E7583B">
              <w:rPr>
                <w:rFonts w:ascii="Times New Roman" w:hAnsi="Times New Roman" w:cs="Times New Roman"/>
                <w:sz w:val="24"/>
                <w:szCs w:val="24"/>
                <w:lang w:eastAsia="uk-UA"/>
              </w:rPr>
              <w:t>)/T020(1),</w:t>
            </w:r>
            <w:r w:rsidR="00C137E2" w:rsidRPr="00E7583B">
              <w:rPr>
                <w:rFonts w:ascii="Times New Roman" w:hAnsi="Times New Roman" w:cs="Times New Roman"/>
                <w:sz w:val="24"/>
                <w:szCs w:val="24"/>
                <w:lang w:eastAsia="uk-UA"/>
              </w:rPr>
              <w:t xml:space="preserve"> R020(GR420)/T020(1),</w:t>
            </w:r>
            <w:r w:rsidR="0000036E" w:rsidRPr="00E7583B">
              <w:rPr>
                <w:rFonts w:ascii="Times New Roman" w:hAnsi="Times New Roman" w:cs="Times New Roman"/>
                <w:sz w:val="24"/>
                <w:szCs w:val="24"/>
                <w:lang w:eastAsia="uk-UA"/>
              </w:rPr>
              <w:t xml:space="preserve"> R020(GR430)/T020(1,2),</w:t>
            </w:r>
            <w:r w:rsidR="00BD1893" w:rsidRPr="00E7583B">
              <w:rPr>
                <w:rFonts w:ascii="Times New Roman" w:hAnsi="Times New Roman" w:cs="Times New Roman"/>
                <w:sz w:val="24"/>
                <w:szCs w:val="24"/>
                <w:lang w:eastAsia="uk-UA"/>
              </w:rPr>
              <w:t xml:space="preserve"> R020(</w:t>
            </w:r>
            <w:r w:rsidR="0063618D" w:rsidRPr="00E7583B">
              <w:rPr>
                <w:rFonts w:ascii="Times New Roman" w:hAnsi="Times New Roman" w:cs="Times New Roman"/>
                <w:sz w:val="24"/>
                <w:szCs w:val="24"/>
                <w:lang w:eastAsia="uk-UA"/>
              </w:rPr>
              <w:t>GR431</w:t>
            </w:r>
            <w:r w:rsidR="00BD1893" w:rsidRPr="00E7583B">
              <w:rPr>
                <w:rFonts w:ascii="Times New Roman" w:hAnsi="Times New Roman" w:cs="Times New Roman"/>
                <w:sz w:val="24"/>
                <w:szCs w:val="24"/>
                <w:lang w:eastAsia="uk-UA"/>
              </w:rPr>
              <w:t>)/T020(1), R020(</w:t>
            </w:r>
            <w:r w:rsidR="0063618D" w:rsidRPr="00E7583B">
              <w:rPr>
                <w:rFonts w:ascii="Times New Roman" w:hAnsi="Times New Roman" w:cs="Times New Roman"/>
                <w:sz w:val="24"/>
                <w:szCs w:val="24"/>
                <w:lang w:eastAsia="uk-UA"/>
              </w:rPr>
              <w:t>GR432</w:t>
            </w:r>
            <w:r w:rsidR="00BD1893" w:rsidRPr="00E7583B">
              <w:rPr>
                <w:rFonts w:ascii="Times New Roman" w:hAnsi="Times New Roman" w:cs="Times New Roman"/>
                <w:sz w:val="24"/>
                <w:szCs w:val="24"/>
                <w:lang w:eastAsia="uk-UA"/>
              </w:rPr>
              <w:t>)/T020(1),</w:t>
            </w:r>
            <w:r w:rsidR="002C31F9" w:rsidRPr="00E7583B">
              <w:rPr>
                <w:rFonts w:ascii="Times New Roman" w:hAnsi="Times New Roman" w:cs="Times New Roman"/>
                <w:sz w:val="24"/>
                <w:szCs w:val="24"/>
                <w:lang w:eastAsia="uk-UA"/>
              </w:rPr>
              <w:t xml:space="preserve"> R020(GR440)/T020(1,2), R020(GR441)/T020(1,2), R020(GR443)/T020(1), R020(GR</w:t>
            </w:r>
            <w:r w:rsidR="00991959" w:rsidRPr="00E7583B">
              <w:rPr>
                <w:rFonts w:ascii="Times New Roman" w:hAnsi="Times New Roman" w:cs="Times New Roman"/>
                <w:sz w:val="24"/>
                <w:szCs w:val="24"/>
                <w:lang w:eastAsia="uk-UA"/>
              </w:rPr>
              <w:t>450</w:t>
            </w:r>
            <w:r w:rsidR="002C31F9" w:rsidRPr="00E7583B">
              <w:rPr>
                <w:rFonts w:ascii="Times New Roman" w:hAnsi="Times New Roman" w:cs="Times New Roman"/>
                <w:sz w:val="24"/>
                <w:szCs w:val="24"/>
                <w:lang w:eastAsia="uk-UA"/>
              </w:rPr>
              <w:t>)/T020(1,2),</w:t>
            </w:r>
            <w:r w:rsidR="00685659" w:rsidRPr="00E7583B">
              <w:rPr>
                <w:rFonts w:ascii="Times New Roman" w:hAnsi="Times New Roman" w:cs="Times New Roman"/>
                <w:sz w:val="24"/>
                <w:szCs w:val="24"/>
                <w:lang w:eastAsia="uk-UA"/>
              </w:rPr>
              <w:t xml:space="preserve"> R020(</w:t>
            </w:r>
            <w:r w:rsidR="0063618D" w:rsidRPr="00B24517">
              <w:rPr>
                <w:rFonts w:ascii="Times New Roman" w:hAnsi="Times New Roman" w:cs="Times New Roman"/>
                <w:sz w:val="24"/>
                <w:szCs w:val="24"/>
                <w:lang w:eastAsia="uk-UA"/>
              </w:rPr>
              <w:t>GR453</w:t>
            </w:r>
            <w:r w:rsidR="00685659" w:rsidRPr="00B24517">
              <w:rPr>
                <w:rFonts w:ascii="Times New Roman" w:hAnsi="Times New Roman" w:cs="Times New Roman"/>
                <w:sz w:val="24"/>
                <w:szCs w:val="24"/>
                <w:lang w:eastAsia="uk-UA"/>
              </w:rPr>
              <w:t>)/T020(1), R020(GR</w:t>
            </w:r>
            <w:r w:rsidR="00991959" w:rsidRPr="00B24517">
              <w:rPr>
                <w:rFonts w:ascii="Times New Roman" w:hAnsi="Times New Roman" w:cs="Times New Roman"/>
                <w:sz w:val="24"/>
                <w:szCs w:val="24"/>
                <w:lang w:eastAsia="uk-UA"/>
              </w:rPr>
              <w:t>460</w:t>
            </w:r>
            <w:r w:rsidR="00685659" w:rsidRPr="00B24517">
              <w:rPr>
                <w:rFonts w:ascii="Times New Roman" w:hAnsi="Times New Roman" w:cs="Times New Roman"/>
                <w:sz w:val="24"/>
                <w:szCs w:val="24"/>
                <w:lang w:eastAsia="uk-UA"/>
              </w:rPr>
              <w:t>)/T020(1,2</w:t>
            </w:r>
            <w:r w:rsidR="003D2836" w:rsidRPr="00B24517">
              <w:rPr>
                <w:rFonts w:ascii="Times New Roman" w:hAnsi="Times New Roman" w:cs="Times New Roman"/>
                <w:sz w:val="24"/>
                <w:szCs w:val="24"/>
                <w:lang w:eastAsia="uk-UA"/>
              </w:rPr>
              <w:t>).</w:t>
            </w:r>
          </w:p>
          <w:p w14:paraId="67DAF968" w14:textId="2AD29BF7" w:rsidR="00562845" w:rsidRPr="00B24517" w:rsidRDefault="0007236E" w:rsidP="0007236E">
            <w:pPr>
              <w:pStyle w:val="a3"/>
              <w:ind w:left="0"/>
              <w:jc w:val="both"/>
              <w:rPr>
                <w:rFonts w:ascii="Times New Roman" w:eastAsia="Times New Roman" w:hAnsi="Times New Roman" w:cs="Times New Roman"/>
                <w:sz w:val="24"/>
                <w:szCs w:val="24"/>
                <w:lang w:eastAsia="ru-RU"/>
              </w:rPr>
            </w:pPr>
            <w:r w:rsidRPr="00B24517">
              <w:rPr>
                <w:rFonts w:ascii="Times New Roman" w:eastAsia="Times New Roman" w:hAnsi="Times New Roman" w:cs="Times New Roman"/>
                <w:sz w:val="24"/>
                <w:szCs w:val="24"/>
                <w:lang w:eastAsia="ru-RU"/>
              </w:rPr>
              <w:t>2. До</w:t>
            </w:r>
            <w:r w:rsidR="00B308D0" w:rsidRPr="00B24517">
              <w:rPr>
                <w:rFonts w:ascii="Times New Roman" w:eastAsia="Times New Roman" w:hAnsi="Times New Roman" w:cs="Times New Roman"/>
                <w:sz w:val="24"/>
                <w:szCs w:val="24"/>
                <w:lang w:eastAsia="ru-RU"/>
              </w:rPr>
              <w:t xml:space="preserve"> цього показника не включається </w:t>
            </w:r>
            <w:r w:rsidRPr="00B24517">
              <w:rPr>
                <w:rFonts w:ascii="Times New Roman" w:eastAsia="Times New Roman" w:hAnsi="Times New Roman" w:cs="Times New Roman"/>
                <w:sz w:val="24"/>
                <w:szCs w:val="24"/>
                <w:lang w:eastAsia="ru-RU"/>
              </w:rPr>
              <w:t>балансов</w:t>
            </w:r>
            <w:r w:rsidR="00185599" w:rsidRPr="00B24517">
              <w:rPr>
                <w:rFonts w:ascii="Times New Roman" w:eastAsia="Times New Roman" w:hAnsi="Times New Roman" w:cs="Times New Roman"/>
                <w:sz w:val="24"/>
                <w:szCs w:val="24"/>
                <w:lang w:eastAsia="ru-RU"/>
              </w:rPr>
              <w:t>а</w:t>
            </w:r>
            <w:r w:rsidRPr="00B24517">
              <w:rPr>
                <w:rFonts w:ascii="Times New Roman" w:eastAsia="Times New Roman" w:hAnsi="Times New Roman" w:cs="Times New Roman"/>
                <w:sz w:val="24"/>
                <w:szCs w:val="24"/>
                <w:lang w:eastAsia="ru-RU"/>
              </w:rPr>
              <w:t xml:space="preserve"> вар</w:t>
            </w:r>
            <w:r w:rsidR="00185599" w:rsidRPr="00B24517">
              <w:rPr>
                <w:rFonts w:ascii="Times New Roman" w:eastAsia="Times New Roman" w:hAnsi="Times New Roman" w:cs="Times New Roman"/>
                <w:sz w:val="24"/>
                <w:szCs w:val="24"/>
                <w:lang w:eastAsia="ru-RU"/>
              </w:rPr>
              <w:t>тість</w:t>
            </w:r>
            <w:r w:rsidR="00B308D0" w:rsidRPr="00B24517">
              <w:rPr>
                <w:rFonts w:ascii="Times New Roman" w:eastAsia="Times New Roman" w:hAnsi="Times New Roman" w:cs="Times New Roman"/>
                <w:sz w:val="24"/>
                <w:szCs w:val="24"/>
                <w:lang w:eastAsia="ru-RU"/>
              </w:rPr>
              <w:t xml:space="preserve"> активів</w:t>
            </w:r>
            <w:r w:rsidR="008F3BDD" w:rsidRPr="00B24517">
              <w:rPr>
                <w:rFonts w:ascii="Times New Roman" w:eastAsia="Times New Roman" w:hAnsi="Times New Roman" w:cs="Times New Roman"/>
                <w:sz w:val="24"/>
                <w:szCs w:val="24"/>
                <w:lang w:eastAsia="ru-RU"/>
              </w:rPr>
              <w:t>, які</w:t>
            </w:r>
            <w:r w:rsidR="004B04F1" w:rsidRPr="00B24517">
              <w:rPr>
                <w:rFonts w:ascii="Times New Roman" w:eastAsia="Times New Roman" w:hAnsi="Times New Roman" w:cs="Times New Roman"/>
                <w:sz w:val="24"/>
                <w:szCs w:val="24"/>
                <w:lang w:eastAsia="ru-RU"/>
              </w:rPr>
              <w:t>:</w:t>
            </w:r>
          </w:p>
          <w:p w14:paraId="295D3C54" w14:textId="37D81C45" w:rsidR="00126BD8" w:rsidRPr="00B24517" w:rsidRDefault="00562845" w:rsidP="0007236E">
            <w:pPr>
              <w:pStyle w:val="a3"/>
              <w:ind w:left="0"/>
              <w:jc w:val="both"/>
              <w:rPr>
                <w:rFonts w:ascii="Times New Roman" w:eastAsia="Times New Roman" w:hAnsi="Times New Roman" w:cs="Times New Roman"/>
                <w:sz w:val="24"/>
                <w:szCs w:val="24"/>
                <w:lang w:eastAsia="uk-UA"/>
              </w:rPr>
            </w:pPr>
            <w:r w:rsidRPr="00B24517">
              <w:rPr>
                <w:rFonts w:ascii="Times New Roman" w:eastAsia="Times New Roman" w:hAnsi="Times New Roman" w:cs="Times New Roman"/>
                <w:sz w:val="24"/>
                <w:szCs w:val="24"/>
                <w:lang w:eastAsia="ru-RU"/>
              </w:rPr>
              <w:t>-</w:t>
            </w:r>
            <w:r w:rsidR="0007236E" w:rsidRPr="00B24517">
              <w:rPr>
                <w:rFonts w:ascii="Times New Roman" w:eastAsia="Times New Roman" w:hAnsi="Times New Roman" w:cs="Times New Roman"/>
                <w:sz w:val="24"/>
                <w:szCs w:val="24"/>
                <w:lang w:eastAsia="ru-RU"/>
              </w:rPr>
              <w:t xml:space="preserve"> банк </w:t>
            </w:r>
            <w:r w:rsidR="0007236E" w:rsidRPr="00B24517">
              <w:rPr>
                <w:rFonts w:ascii="Times New Roman" w:hAnsi="Times New Roman" w:cs="Times New Roman"/>
                <w:sz w:val="24"/>
                <w:szCs w:val="24"/>
                <w:lang w:eastAsia="uk-UA"/>
              </w:rPr>
              <w:t>згорнув із зобов’язаннями</w:t>
            </w:r>
            <w:r w:rsidR="00126BD8" w:rsidRPr="00B24517">
              <w:rPr>
                <w:rFonts w:ascii="Times New Roman" w:eastAsia="Times New Roman" w:hAnsi="Times New Roman" w:cs="Times New Roman"/>
                <w:sz w:val="24"/>
                <w:szCs w:val="24"/>
                <w:lang w:eastAsia="uk-UA"/>
              </w:rPr>
              <w:t xml:space="preserve"> </w:t>
            </w:r>
            <w:r w:rsidR="00F75C8C" w:rsidRPr="00B24517">
              <w:rPr>
                <w:rFonts w:ascii="Times New Roman" w:eastAsia="Times New Roman" w:hAnsi="Times New Roman" w:cs="Times New Roman"/>
                <w:sz w:val="24"/>
                <w:szCs w:val="24"/>
                <w:lang w:eastAsia="uk-UA"/>
              </w:rPr>
              <w:t>у випадках</w:t>
            </w:r>
            <w:r w:rsidR="00082922" w:rsidRPr="00B24517">
              <w:rPr>
                <w:rFonts w:ascii="Times New Roman" w:eastAsia="Times New Roman" w:hAnsi="Times New Roman" w:cs="Times New Roman"/>
                <w:sz w:val="24"/>
                <w:szCs w:val="24"/>
                <w:lang w:eastAsia="uk-UA"/>
              </w:rPr>
              <w:t xml:space="preserve">, встановлених </w:t>
            </w:r>
            <w:r w:rsidR="00126BD8" w:rsidRPr="00B24517">
              <w:rPr>
                <w:rFonts w:ascii="Times New Roman" w:eastAsia="Times New Roman" w:hAnsi="Times New Roman" w:cs="Times New Roman"/>
                <w:sz w:val="24"/>
                <w:szCs w:val="24"/>
                <w:lang w:eastAsia="uk-UA"/>
              </w:rPr>
              <w:t>Положення</w:t>
            </w:r>
            <w:r w:rsidR="00082922" w:rsidRPr="00B24517">
              <w:rPr>
                <w:rFonts w:ascii="Times New Roman" w:eastAsia="Times New Roman" w:hAnsi="Times New Roman" w:cs="Times New Roman"/>
                <w:sz w:val="24"/>
                <w:szCs w:val="24"/>
                <w:lang w:eastAsia="uk-UA"/>
              </w:rPr>
              <w:t>м</w:t>
            </w:r>
            <w:r w:rsidR="00126BD8" w:rsidRPr="00B24517">
              <w:rPr>
                <w:rFonts w:ascii="Times New Roman" w:eastAsia="Times New Roman" w:hAnsi="Times New Roman" w:cs="Times New Roman"/>
                <w:sz w:val="24"/>
                <w:szCs w:val="24"/>
                <w:lang w:eastAsia="uk-UA"/>
              </w:rPr>
              <w:t xml:space="preserve"> </w:t>
            </w:r>
            <w:r w:rsidR="0060214E" w:rsidRPr="00B24517">
              <w:rPr>
                <w:rFonts w:ascii="Times New Roman" w:hAnsi="Times New Roman" w:cs="Times New Roman"/>
                <w:sz w:val="24"/>
                <w:szCs w:val="24"/>
                <w:lang w:eastAsia="uk-UA"/>
              </w:rPr>
              <w:t>про організацію бухгалтерського обліку в банках України</w:t>
            </w:r>
            <w:r w:rsidR="00775DEC" w:rsidRPr="00B24517">
              <w:rPr>
                <w:rFonts w:ascii="Times New Roman" w:eastAsia="Times New Roman" w:hAnsi="Times New Roman" w:cs="Times New Roman"/>
                <w:sz w:val="24"/>
                <w:szCs w:val="24"/>
                <w:lang w:eastAsia="uk-UA"/>
              </w:rPr>
              <w:t>, затверджен</w:t>
            </w:r>
            <w:r w:rsidR="00992D06" w:rsidRPr="00B24517">
              <w:rPr>
                <w:rFonts w:ascii="Times New Roman" w:eastAsia="Times New Roman" w:hAnsi="Times New Roman" w:cs="Times New Roman"/>
                <w:sz w:val="24"/>
                <w:szCs w:val="24"/>
                <w:lang w:eastAsia="uk-UA"/>
              </w:rPr>
              <w:t>им</w:t>
            </w:r>
            <w:r w:rsidR="0060214E" w:rsidRPr="00B24517">
              <w:rPr>
                <w:rFonts w:ascii="Times New Roman" w:eastAsia="Times New Roman" w:hAnsi="Times New Roman" w:cs="Times New Roman"/>
                <w:sz w:val="24"/>
                <w:szCs w:val="24"/>
                <w:lang w:eastAsia="uk-UA"/>
              </w:rPr>
              <w:t xml:space="preserve"> постановою Правління Національного банку України від </w:t>
            </w:r>
            <w:r w:rsidR="00775DEC" w:rsidRPr="00B24517">
              <w:rPr>
                <w:rFonts w:ascii="Times New Roman" w:eastAsia="Times New Roman" w:hAnsi="Times New Roman" w:cs="Times New Roman"/>
                <w:sz w:val="24"/>
                <w:szCs w:val="24"/>
                <w:lang w:eastAsia="uk-UA"/>
              </w:rPr>
              <w:t>04.07.2018  № 75</w:t>
            </w:r>
            <w:r w:rsidR="00BA720A" w:rsidRPr="00B24517">
              <w:rPr>
                <w:rFonts w:ascii="Times New Roman" w:eastAsia="Times New Roman" w:hAnsi="Times New Roman" w:cs="Times New Roman"/>
                <w:sz w:val="24"/>
                <w:szCs w:val="24"/>
                <w:lang w:eastAsia="uk-UA"/>
              </w:rPr>
              <w:t xml:space="preserve"> (далі – </w:t>
            </w:r>
            <w:r w:rsidR="00EA5BB9" w:rsidRPr="00B24517">
              <w:rPr>
                <w:rFonts w:ascii="Times New Roman" w:eastAsia="Times New Roman" w:hAnsi="Times New Roman" w:cs="Times New Roman"/>
                <w:sz w:val="24"/>
                <w:szCs w:val="24"/>
                <w:lang w:eastAsia="uk-UA"/>
              </w:rPr>
              <w:t xml:space="preserve"> </w:t>
            </w:r>
            <w:r w:rsidR="00BA720A" w:rsidRPr="00B24517">
              <w:rPr>
                <w:rFonts w:ascii="Times New Roman" w:eastAsia="Times New Roman" w:hAnsi="Times New Roman" w:cs="Times New Roman"/>
                <w:sz w:val="24"/>
                <w:szCs w:val="24"/>
                <w:lang w:eastAsia="uk-UA"/>
              </w:rPr>
              <w:t>Положення №</w:t>
            </w:r>
            <w:r w:rsidR="008F7F2F" w:rsidRPr="00B24517">
              <w:rPr>
                <w:rFonts w:ascii="Times New Roman" w:eastAsia="Times New Roman" w:hAnsi="Times New Roman" w:cs="Times New Roman"/>
                <w:sz w:val="24"/>
                <w:szCs w:val="24"/>
                <w:lang w:eastAsia="uk-UA"/>
              </w:rPr>
              <w:t> </w:t>
            </w:r>
            <w:r w:rsidR="00BA720A" w:rsidRPr="00B24517">
              <w:rPr>
                <w:rFonts w:ascii="Times New Roman" w:eastAsia="Times New Roman" w:hAnsi="Times New Roman" w:cs="Times New Roman"/>
                <w:sz w:val="24"/>
                <w:szCs w:val="24"/>
                <w:lang w:eastAsia="uk-UA"/>
              </w:rPr>
              <w:t>75)</w:t>
            </w:r>
            <w:r w:rsidR="00245BC2" w:rsidRPr="00B24517">
              <w:rPr>
                <w:rFonts w:ascii="Times New Roman" w:eastAsia="Times New Roman" w:hAnsi="Times New Roman" w:cs="Times New Roman"/>
                <w:sz w:val="24"/>
                <w:szCs w:val="24"/>
                <w:lang w:eastAsia="uk-UA"/>
              </w:rPr>
              <w:t>;</w:t>
            </w:r>
          </w:p>
          <w:p w14:paraId="2747D6FE" w14:textId="2A0B0501" w:rsidR="0007236E" w:rsidRPr="00B308D0" w:rsidRDefault="00775DEC" w:rsidP="002A7E69">
            <w:pPr>
              <w:pStyle w:val="a3"/>
              <w:ind w:left="0"/>
              <w:jc w:val="both"/>
              <w:rPr>
                <w:rFonts w:ascii="Times New Roman" w:eastAsia="Times New Roman" w:hAnsi="Times New Roman" w:cs="Times New Roman"/>
                <w:strike/>
                <w:sz w:val="24"/>
                <w:szCs w:val="24"/>
                <w:lang w:eastAsia="uk-UA"/>
              </w:rPr>
            </w:pPr>
            <w:r w:rsidRPr="00B24517">
              <w:rPr>
                <w:rFonts w:ascii="Times New Roman" w:eastAsia="Times New Roman" w:hAnsi="Times New Roman" w:cs="Times New Roman"/>
                <w:sz w:val="24"/>
                <w:szCs w:val="24"/>
                <w:lang w:eastAsia="uk-UA"/>
              </w:rPr>
              <w:t xml:space="preserve">- </w:t>
            </w:r>
            <w:r w:rsidR="003F2ED0" w:rsidRPr="00B24517">
              <w:rPr>
                <w:rFonts w:ascii="Times New Roman" w:eastAsia="Times New Roman" w:hAnsi="Times New Roman" w:cs="Times New Roman"/>
                <w:sz w:val="24"/>
                <w:szCs w:val="24"/>
                <w:lang w:eastAsia="uk-UA"/>
              </w:rPr>
              <w:t>включені</w:t>
            </w:r>
            <w:r w:rsidR="00483C7D" w:rsidRPr="00B24517">
              <w:rPr>
                <w:rFonts w:ascii="Times New Roman" w:eastAsia="Times New Roman" w:hAnsi="Times New Roman" w:cs="Times New Roman"/>
                <w:sz w:val="24"/>
                <w:szCs w:val="24"/>
                <w:lang w:eastAsia="uk-UA"/>
              </w:rPr>
              <w:t xml:space="preserve"> </w:t>
            </w:r>
            <w:r w:rsidR="004B04F1" w:rsidRPr="00B24517">
              <w:rPr>
                <w:rFonts w:ascii="Times New Roman" w:eastAsia="Times New Roman" w:hAnsi="Times New Roman" w:cs="Times New Roman"/>
                <w:sz w:val="24"/>
                <w:szCs w:val="24"/>
                <w:lang w:eastAsia="uk-UA"/>
              </w:rPr>
              <w:t>до показників A6J004</w:t>
            </w:r>
            <w:r w:rsidR="00E45E7C" w:rsidRPr="00B24517">
              <w:rPr>
                <w:rFonts w:ascii="Times New Roman" w:eastAsia="Times New Roman" w:hAnsi="Times New Roman" w:cs="Times New Roman"/>
                <w:sz w:val="24"/>
                <w:szCs w:val="24"/>
                <w:lang w:eastAsia="uk-UA"/>
              </w:rPr>
              <w:t>,</w:t>
            </w:r>
            <w:r w:rsidR="004B04F1" w:rsidRPr="00B24517">
              <w:rPr>
                <w:rFonts w:ascii="Times New Roman" w:eastAsia="Times New Roman" w:hAnsi="Times New Roman" w:cs="Times New Roman"/>
                <w:sz w:val="24"/>
                <w:szCs w:val="24"/>
                <w:lang w:eastAsia="uk-UA"/>
              </w:rPr>
              <w:t xml:space="preserve"> </w:t>
            </w:r>
            <w:r w:rsidR="00E45E7C" w:rsidRPr="00B24517">
              <w:rPr>
                <w:rFonts w:ascii="Times New Roman" w:eastAsia="Times New Roman" w:hAnsi="Times New Roman" w:cs="Times New Roman"/>
                <w:sz w:val="24"/>
                <w:szCs w:val="24"/>
                <w:lang w:eastAsia="uk-UA"/>
              </w:rPr>
              <w:t>A6J005.</w:t>
            </w:r>
          </w:p>
        </w:tc>
      </w:tr>
      <w:tr w:rsidR="0007236E" w:rsidRPr="006A6C3E" w14:paraId="3189AB11" w14:textId="77777777" w:rsidTr="00920CCC">
        <w:tc>
          <w:tcPr>
            <w:tcW w:w="567" w:type="dxa"/>
            <w:tcBorders>
              <w:top w:val="single" w:sz="4" w:space="0" w:color="auto"/>
            </w:tcBorders>
            <w:shd w:val="clear" w:color="auto" w:fill="auto"/>
          </w:tcPr>
          <w:p w14:paraId="05F8D591" w14:textId="271C63D5" w:rsidR="0007236E" w:rsidRPr="006A6C3E" w:rsidRDefault="00654195"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lastRenderedPageBreak/>
              <w:t>4</w:t>
            </w:r>
          </w:p>
        </w:tc>
        <w:tc>
          <w:tcPr>
            <w:tcW w:w="2668" w:type="dxa"/>
            <w:shd w:val="clear" w:color="auto" w:fill="auto"/>
          </w:tcPr>
          <w:p w14:paraId="2B60671D" w14:textId="77777777" w:rsidR="0007236E" w:rsidRPr="006A6C3E" w:rsidRDefault="0007236E"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Складова сукупних активів та позабалансових зобов’язань. </w:t>
            </w:r>
          </w:p>
          <w:p w14:paraId="3625C1BE" w14:textId="0CDE34B5" w:rsidR="0007236E" w:rsidRPr="006A6C3E" w:rsidRDefault="0007236E" w:rsidP="0007236E">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Сукупний </w:t>
            </w:r>
            <w:r w:rsidR="00451DFD" w:rsidRPr="006A6C3E">
              <w:rPr>
                <w:rFonts w:ascii="Times New Roman" w:hAnsi="Times New Roman" w:cs="Times New Roman"/>
                <w:sz w:val="24"/>
                <w:szCs w:val="24"/>
                <w:lang w:eastAsia="uk-UA"/>
              </w:rPr>
              <w:t xml:space="preserve">розмір </w:t>
            </w:r>
            <w:r w:rsidRPr="006A6C3E">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618653FD" w14:textId="5A011592" w:rsidR="0007236E" w:rsidRPr="006A6C3E" w:rsidRDefault="0007236E" w:rsidP="0007236E">
            <w:pPr>
              <w:jc w:val="center"/>
              <w:rPr>
                <w:rFonts w:ascii="Times New Roman" w:eastAsia="Times New Roman" w:hAnsi="Times New Roman" w:cs="Times New Roman"/>
                <w:bCs/>
                <w:sz w:val="24"/>
                <w:szCs w:val="24"/>
                <w:lang w:eastAsia="uk-UA"/>
              </w:rPr>
            </w:pPr>
            <w:r w:rsidRPr="006A6C3E">
              <w:rPr>
                <w:rFonts w:ascii="Times New Roman" w:eastAsia="Times New Roman" w:hAnsi="Times New Roman" w:cs="Times New Roman"/>
                <w:bCs/>
                <w:sz w:val="24"/>
                <w:szCs w:val="24"/>
                <w:lang w:eastAsia="uk-UA"/>
              </w:rPr>
              <w:t>A6</w:t>
            </w:r>
            <w:r w:rsidR="006252F5" w:rsidRPr="006A6C3E">
              <w:rPr>
                <w:rFonts w:ascii="Times New Roman" w:eastAsia="Times New Roman" w:hAnsi="Times New Roman" w:cs="Times New Roman"/>
                <w:bCs/>
                <w:sz w:val="24"/>
                <w:szCs w:val="24"/>
                <w:lang w:val="en-US" w:eastAsia="uk-UA"/>
              </w:rPr>
              <w:t>J</w:t>
            </w:r>
            <w:r w:rsidR="00654195" w:rsidRPr="006A6C3E">
              <w:rPr>
                <w:rFonts w:ascii="Times New Roman" w:eastAsia="Times New Roman" w:hAnsi="Times New Roman" w:cs="Times New Roman"/>
                <w:bCs/>
                <w:sz w:val="24"/>
                <w:szCs w:val="24"/>
                <w:lang w:eastAsia="uk-UA"/>
              </w:rPr>
              <w:t>004</w:t>
            </w:r>
          </w:p>
        </w:tc>
        <w:tc>
          <w:tcPr>
            <w:tcW w:w="6237" w:type="dxa"/>
            <w:shd w:val="clear" w:color="auto" w:fill="auto"/>
          </w:tcPr>
          <w:p w14:paraId="0CF8F1CC" w14:textId="11EEA967" w:rsidR="0007236E" w:rsidRPr="006A6C3E" w:rsidRDefault="0007236E" w:rsidP="0007236E">
            <w:pPr>
              <w:jc w:val="both"/>
              <w:rPr>
                <w:rFonts w:ascii="Times New Roman" w:hAnsi="Times New Roman" w:cs="Times New Roman"/>
                <w:b/>
                <w:sz w:val="24"/>
                <w:szCs w:val="24"/>
                <w:lang w:eastAsia="uk-UA"/>
              </w:rPr>
            </w:pPr>
            <w:r w:rsidRPr="006A6C3E">
              <w:rPr>
                <w:rFonts w:ascii="Times New Roman" w:hAnsi="Times New Roman" w:cs="Times New Roman"/>
                <w:b/>
                <w:sz w:val="24"/>
                <w:szCs w:val="24"/>
                <w:lang w:eastAsia="uk-UA"/>
              </w:rPr>
              <w:t xml:space="preserve">Консолідовані рахунки клієнтів, </w:t>
            </w:r>
            <w:r w:rsidR="00CE3862">
              <w:rPr>
                <w:rFonts w:ascii="Times New Roman" w:hAnsi="Times New Roman" w:cs="Times New Roman"/>
                <w:b/>
                <w:sz w:val="24"/>
                <w:szCs w:val="24"/>
                <w:lang w:eastAsia="uk-UA"/>
              </w:rPr>
              <w:t>що згортаються</w:t>
            </w:r>
          </w:p>
          <w:p w14:paraId="7950F310" w14:textId="2E5DE082" w:rsidR="0007236E" w:rsidRPr="006A6C3E" w:rsidRDefault="0007236E" w:rsidP="007C3F2B">
            <w:pPr>
              <w:jc w:val="both"/>
              <w:rPr>
                <w:rFonts w:ascii="Times New Roman" w:hAnsi="Times New Roman" w:cs="Times New Roman"/>
                <w:b/>
                <w:sz w:val="24"/>
                <w:szCs w:val="24"/>
                <w:lang w:eastAsia="uk-UA"/>
              </w:rPr>
            </w:pPr>
            <w:r w:rsidRPr="006A6C3E">
              <w:rPr>
                <w:rFonts w:ascii="Times New Roman" w:hAnsi="Times New Roman" w:cs="Times New Roman"/>
                <w:sz w:val="24"/>
                <w:szCs w:val="24"/>
                <w:lang w:eastAsia="uk-UA"/>
              </w:rPr>
              <w:t>1.</w:t>
            </w:r>
            <w:r w:rsidRPr="006A6C3E">
              <w:rPr>
                <w:rFonts w:ascii="Times New Roman" w:eastAsia="Times New Roman" w:hAnsi="Times New Roman" w:cs="Times New Roman"/>
                <w:sz w:val="24"/>
                <w:szCs w:val="24"/>
                <w:lang w:eastAsia="uk-UA"/>
              </w:rPr>
              <w:t xml:space="preserve"> Сума за складовою </w:t>
            </w:r>
            <w:r w:rsidRPr="006A6C3E">
              <w:rPr>
                <w:rFonts w:ascii="Times New Roman" w:hAnsi="Times New Roman" w:cs="Times New Roman"/>
                <w:sz w:val="24"/>
                <w:szCs w:val="24"/>
                <w:lang w:eastAsia="uk-UA"/>
              </w:rPr>
              <w:t>сукупних активів та позабалансових зобов’язань</w:t>
            </w:r>
            <w:r w:rsidR="000B33B1">
              <w:rPr>
                <w:rFonts w:ascii="Times New Roman" w:hAnsi="Times New Roman" w:cs="Times New Roman"/>
                <w:sz w:val="24"/>
                <w:szCs w:val="24"/>
                <w:lang w:eastAsia="uk-UA"/>
              </w:rPr>
              <w:t> – </w:t>
            </w:r>
            <w:r w:rsidRPr="006A6C3E">
              <w:rPr>
                <w:rFonts w:ascii="Times New Roman" w:hAnsi="Times New Roman" w:cs="Times New Roman"/>
                <w:sz w:val="24"/>
                <w:szCs w:val="24"/>
                <w:lang w:eastAsia="uk-UA"/>
              </w:rPr>
              <w:t xml:space="preserve">сукупний розмір </w:t>
            </w:r>
            <w:r w:rsidR="00954AB3" w:rsidRPr="00B24517">
              <w:rPr>
                <w:rFonts w:ascii="Times New Roman" w:hAnsi="Times New Roman" w:cs="Times New Roman"/>
                <w:sz w:val="24"/>
                <w:szCs w:val="24"/>
                <w:lang w:eastAsia="uk-UA"/>
              </w:rPr>
              <w:t xml:space="preserve">балансової вартості </w:t>
            </w:r>
            <w:r w:rsidRPr="00B24517">
              <w:rPr>
                <w:rFonts w:ascii="Times New Roman" w:hAnsi="Times New Roman" w:cs="Times New Roman"/>
                <w:sz w:val="24"/>
                <w:szCs w:val="24"/>
                <w:lang w:eastAsia="uk-UA"/>
              </w:rPr>
              <w:t>активів (дебетових залишків) на окремих р</w:t>
            </w:r>
            <w:r w:rsidR="00451DFD" w:rsidRPr="00B24517">
              <w:rPr>
                <w:rFonts w:ascii="Times New Roman" w:hAnsi="Times New Roman" w:cs="Times New Roman"/>
                <w:sz w:val="24"/>
                <w:szCs w:val="24"/>
                <w:lang w:eastAsia="uk-UA"/>
              </w:rPr>
              <w:t>ахунках (консолідованих рахунках</w:t>
            </w:r>
            <w:r w:rsidRPr="00B24517">
              <w:rPr>
                <w:rFonts w:ascii="Times New Roman" w:hAnsi="Times New Roman" w:cs="Times New Roman"/>
                <w:sz w:val="24"/>
                <w:szCs w:val="24"/>
                <w:lang w:eastAsia="uk-UA"/>
              </w:rPr>
              <w:t>) клієнтів</w:t>
            </w:r>
            <w:r w:rsidR="00864819" w:rsidRPr="00B24517">
              <w:rPr>
                <w:rFonts w:ascii="Times New Roman" w:hAnsi="Times New Roman" w:cs="Times New Roman"/>
                <w:sz w:val="24"/>
                <w:szCs w:val="24"/>
                <w:lang w:eastAsia="uk-UA"/>
              </w:rPr>
              <w:t>,</w:t>
            </w:r>
            <w:r w:rsidR="00174FDC" w:rsidRPr="00B24517">
              <w:rPr>
                <w:rFonts w:ascii="Times New Roman" w:hAnsi="Times New Roman" w:cs="Times New Roman"/>
                <w:sz w:val="24"/>
                <w:szCs w:val="24"/>
                <w:lang w:eastAsia="uk-UA"/>
              </w:rPr>
              <w:t xml:space="preserve"> які</w:t>
            </w:r>
            <w:r w:rsidR="003940AD" w:rsidRPr="00B24517">
              <w:rPr>
                <w:rFonts w:ascii="Times New Roman" w:hAnsi="Times New Roman" w:cs="Times New Roman"/>
                <w:sz w:val="24"/>
                <w:szCs w:val="24"/>
                <w:lang w:eastAsia="uk-UA"/>
              </w:rPr>
              <w:t xml:space="preserve"> </w:t>
            </w:r>
            <w:r w:rsidRPr="00B24517">
              <w:rPr>
                <w:rFonts w:ascii="Times New Roman" w:hAnsi="Times New Roman" w:cs="Times New Roman"/>
                <w:sz w:val="24"/>
                <w:szCs w:val="24"/>
                <w:lang w:eastAsia="uk-UA"/>
              </w:rPr>
              <w:t>включа</w:t>
            </w:r>
            <w:r w:rsidR="000644F6" w:rsidRPr="00B24517">
              <w:rPr>
                <w:rFonts w:ascii="Times New Roman" w:hAnsi="Times New Roman" w:cs="Times New Roman"/>
                <w:sz w:val="24"/>
                <w:szCs w:val="24"/>
                <w:lang w:eastAsia="uk-UA"/>
              </w:rPr>
              <w:t>ю</w:t>
            </w:r>
            <w:r w:rsidRPr="00B24517">
              <w:rPr>
                <w:rFonts w:ascii="Times New Roman" w:hAnsi="Times New Roman" w:cs="Times New Roman"/>
                <w:sz w:val="24"/>
                <w:szCs w:val="24"/>
                <w:lang w:eastAsia="uk-UA"/>
              </w:rPr>
              <w:t>ться до розрахунку</w:t>
            </w:r>
            <w:r w:rsidR="00C071AE" w:rsidRPr="00B24517">
              <w:rPr>
                <w:rFonts w:ascii="Times New Roman" w:hAnsi="Times New Roman" w:cs="Times New Roman"/>
                <w:sz w:val="24"/>
                <w:szCs w:val="24"/>
                <w:lang w:eastAsia="uk-UA"/>
              </w:rPr>
              <w:t xml:space="preserve"> сукупного розміру експозицій за активами</w:t>
            </w:r>
            <w:r w:rsidRPr="00B24517">
              <w:rPr>
                <w:rFonts w:ascii="Times New Roman" w:hAnsi="Times New Roman" w:cs="Times New Roman"/>
                <w:sz w:val="24"/>
                <w:szCs w:val="24"/>
                <w:lang w:eastAsia="uk-UA"/>
              </w:rPr>
              <w:t xml:space="preserve"> згідно з </w:t>
            </w:r>
            <w:r w:rsidR="00451DFD" w:rsidRPr="00B24517">
              <w:rPr>
                <w:rFonts w:ascii="Times New Roman" w:hAnsi="Times New Roman" w:cs="Times New Roman"/>
                <w:sz w:val="24"/>
                <w:szCs w:val="24"/>
                <w:lang w:eastAsia="uk-UA"/>
              </w:rPr>
              <w:t>пунктом 12</w:t>
            </w:r>
            <w:r w:rsidRPr="00B24517">
              <w:rPr>
                <w:rFonts w:ascii="Times New Roman" w:hAnsi="Times New Roman" w:cs="Times New Roman"/>
                <w:sz w:val="24"/>
                <w:szCs w:val="24"/>
                <w:lang w:eastAsia="uk-UA"/>
              </w:rPr>
              <w:t xml:space="preserve"> </w:t>
            </w:r>
            <w:r w:rsidRPr="00B24517">
              <w:rPr>
                <w:rFonts w:ascii="Times New Roman" w:eastAsia="Times New Roman" w:hAnsi="Times New Roman" w:cs="Times New Roman"/>
                <w:sz w:val="24"/>
                <w:szCs w:val="24"/>
                <w:lang w:eastAsia="uk-UA"/>
              </w:rPr>
              <w:t xml:space="preserve">розділу </w:t>
            </w:r>
            <w:r w:rsidRPr="00B24517">
              <w:rPr>
                <w:rFonts w:ascii="Times New Roman" w:eastAsia="Times New Roman" w:hAnsi="Times New Roman" w:cs="Times New Roman"/>
                <w:sz w:val="24"/>
                <w:szCs w:val="24"/>
                <w:lang w:val="en-US" w:eastAsia="uk-UA"/>
              </w:rPr>
              <w:t>II</w:t>
            </w:r>
            <w:r w:rsidRPr="00B24517">
              <w:rPr>
                <w:rFonts w:ascii="Times New Roman" w:eastAsia="Times New Roman" w:hAnsi="Times New Roman" w:cs="Times New Roman"/>
                <w:sz w:val="24"/>
                <w:szCs w:val="24"/>
                <w:lang w:eastAsia="uk-UA"/>
              </w:rPr>
              <w:t xml:space="preserve"> Положення № 89</w:t>
            </w:r>
            <w:r w:rsidR="007C5304" w:rsidRPr="00B24517">
              <w:rPr>
                <w:rFonts w:ascii="Times New Roman" w:eastAsia="Times New Roman" w:hAnsi="Times New Roman" w:cs="Times New Roman"/>
                <w:sz w:val="24"/>
                <w:szCs w:val="24"/>
                <w:lang w:eastAsia="uk-UA"/>
              </w:rPr>
              <w:t>,</w:t>
            </w:r>
            <w:r w:rsidRPr="00B24517">
              <w:rPr>
                <w:rFonts w:ascii="Times New Roman" w:eastAsia="Times New Roman" w:hAnsi="Times New Roman" w:cs="Times New Roman"/>
                <w:sz w:val="24"/>
                <w:szCs w:val="24"/>
                <w:lang w:eastAsia="uk-UA"/>
              </w:rPr>
              <w:t xml:space="preserve"> </w:t>
            </w:r>
            <w:r w:rsidRPr="00B24517">
              <w:rPr>
                <w:rFonts w:ascii="Times New Roman" w:hAnsi="Times New Roman" w:cs="Times New Roman"/>
                <w:sz w:val="24"/>
                <w:szCs w:val="24"/>
                <w:lang w:eastAsia="uk-UA"/>
              </w:rPr>
              <w:t>з урахуванням R020(2600)/T020(1),</w:t>
            </w:r>
            <w:r w:rsidR="00646822" w:rsidRPr="00B24517">
              <w:rPr>
                <w:rFonts w:ascii="Times New Roman" w:hAnsi="Times New Roman" w:cs="Times New Roman"/>
                <w:sz w:val="24"/>
                <w:szCs w:val="24"/>
                <w:lang w:eastAsia="uk-UA"/>
              </w:rPr>
              <w:t xml:space="preserve"> R020(2607)/T020(1), R020(2609)/T020(2), R020(2650)/T020(1), </w:t>
            </w:r>
            <w:r w:rsidR="00C82E65" w:rsidRPr="00B24517">
              <w:rPr>
                <w:rFonts w:ascii="Times New Roman" w:hAnsi="Times New Roman" w:cs="Times New Roman"/>
                <w:sz w:val="24"/>
                <w:szCs w:val="24"/>
                <w:lang w:eastAsia="uk-UA"/>
              </w:rPr>
              <w:t>R020(2657)/T020(1),</w:t>
            </w:r>
            <w:r w:rsidR="00D962D4" w:rsidRPr="00D962D4">
              <w:rPr>
                <w:rFonts w:ascii="Times New Roman" w:hAnsi="Times New Roman" w:cs="Times New Roman"/>
                <w:sz w:val="24"/>
                <w:szCs w:val="24"/>
                <w:lang w:eastAsia="uk-UA"/>
              </w:rPr>
              <w:t xml:space="preserve"> </w:t>
            </w:r>
            <w:r w:rsidR="00C82E65" w:rsidRPr="00B24517">
              <w:rPr>
                <w:rFonts w:ascii="Times New Roman" w:hAnsi="Times New Roman" w:cs="Times New Roman"/>
                <w:sz w:val="24"/>
                <w:szCs w:val="24"/>
                <w:lang w:eastAsia="uk-UA"/>
              </w:rPr>
              <w:t xml:space="preserve"> R020(2659)/T020(2).</w:t>
            </w:r>
          </w:p>
        </w:tc>
      </w:tr>
      <w:tr w:rsidR="00AC3AE4" w:rsidRPr="00AC3AE4" w14:paraId="317A6926" w14:textId="77777777" w:rsidTr="00920CCC">
        <w:tc>
          <w:tcPr>
            <w:tcW w:w="567" w:type="dxa"/>
            <w:tcBorders>
              <w:top w:val="single" w:sz="4" w:space="0" w:color="auto"/>
            </w:tcBorders>
            <w:shd w:val="clear" w:color="auto" w:fill="auto"/>
          </w:tcPr>
          <w:p w14:paraId="41C36C95" w14:textId="15A66CE1" w:rsidR="0007236E" w:rsidRPr="00AC3AE4" w:rsidRDefault="00654195" w:rsidP="0007236E">
            <w:pPr>
              <w:jc w:val="center"/>
              <w:rPr>
                <w:rFonts w:ascii="Times New Roman" w:hAnsi="Times New Roman" w:cs="Times New Roman"/>
                <w:sz w:val="24"/>
                <w:szCs w:val="24"/>
                <w:lang w:eastAsia="uk-UA"/>
              </w:rPr>
            </w:pPr>
            <w:r w:rsidRPr="00AC3AE4">
              <w:rPr>
                <w:rFonts w:ascii="Times New Roman" w:hAnsi="Times New Roman" w:cs="Times New Roman"/>
                <w:sz w:val="24"/>
                <w:szCs w:val="24"/>
                <w:lang w:eastAsia="uk-UA"/>
              </w:rPr>
              <w:t>5</w:t>
            </w:r>
          </w:p>
        </w:tc>
        <w:tc>
          <w:tcPr>
            <w:tcW w:w="2668" w:type="dxa"/>
            <w:shd w:val="clear" w:color="auto" w:fill="auto"/>
          </w:tcPr>
          <w:p w14:paraId="569F9788" w14:textId="77777777" w:rsidR="0007236E" w:rsidRPr="00AC3AE4" w:rsidRDefault="0007236E" w:rsidP="0007236E">
            <w:pPr>
              <w:jc w:val="center"/>
              <w:rPr>
                <w:rFonts w:ascii="Times New Roman" w:hAnsi="Times New Roman" w:cs="Times New Roman"/>
                <w:sz w:val="24"/>
                <w:szCs w:val="24"/>
                <w:lang w:eastAsia="uk-UA"/>
              </w:rPr>
            </w:pPr>
            <w:r w:rsidRPr="00AC3AE4">
              <w:rPr>
                <w:rFonts w:ascii="Times New Roman" w:hAnsi="Times New Roman" w:cs="Times New Roman"/>
                <w:sz w:val="24"/>
                <w:szCs w:val="24"/>
                <w:lang w:eastAsia="uk-UA"/>
              </w:rPr>
              <w:t xml:space="preserve">Складова сукупних активів та позабалансових зобов’язань. </w:t>
            </w:r>
          </w:p>
          <w:p w14:paraId="01296A0C" w14:textId="531676FC" w:rsidR="0007236E" w:rsidRPr="00AC3AE4" w:rsidRDefault="00451DFD" w:rsidP="0007236E">
            <w:pPr>
              <w:jc w:val="center"/>
              <w:rPr>
                <w:rFonts w:ascii="Times New Roman" w:eastAsia="Times New Roman" w:hAnsi="Times New Roman" w:cs="Times New Roman"/>
                <w:sz w:val="24"/>
                <w:szCs w:val="24"/>
                <w:lang w:eastAsia="uk-UA"/>
              </w:rPr>
            </w:pPr>
            <w:r w:rsidRPr="00AC3AE4">
              <w:rPr>
                <w:rFonts w:ascii="Times New Roman" w:hAnsi="Times New Roman" w:cs="Times New Roman"/>
                <w:sz w:val="24"/>
                <w:szCs w:val="24"/>
                <w:lang w:eastAsia="uk-UA"/>
              </w:rPr>
              <w:lastRenderedPageBreak/>
              <w:t xml:space="preserve">Сукупний розмір </w:t>
            </w:r>
            <w:r w:rsidR="0007236E" w:rsidRPr="00AC3AE4">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2CD600A3" w14:textId="44BC2AA1" w:rsidR="0007236E" w:rsidRPr="00AC3AE4" w:rsidRDefault="0007236E" w:rsidP="0007236E">
            <w:pPr>
              <w:jc w:val="center"/>
              <w:rPr>
                <w:rFonts w:ascii="Times New Roman" w:eastAsia="Times New Roman" w:hAnsi="Times New Roman" w:cs="Times New Roman"/>
                <w:bCs/>
                <w:sz w:val="24"/>
                <w:szCs w:val="24"/>
                <w:lang w:eastAsia="uk-UA"/>
              </w:rPr>
            </w:pPr>
            <w:r w:rsidRPr="00AC3AE4">
              <w:rPr>
                <w:rFonts w:ascii="Times New Roman" w:eastAsia="Times New Roman" w:hAnsi="Times New Roman" w:cs="Times New Roman"/>
                <w:bCs/>
                <w:sz w:val="24"/>
                <w:szCs w:val="24"/>
                <w:lang w:eastAsia="uk-UA"/>
              </w:rPr>
              <w:lastRenderedPageBreak/>
              <w:t>A6</w:t>
            </w:r>
            <w:r w:rsidR="0046759E" w:rsidRPr="00AC3AE4">
              <w:rPr>
                <w:rFonts w:ascii="Times New Roman" w:eastAsia="Times New Roman" w:hAnsi="Times New Roman" w:cs="Times New Roman"/>
                <w:bCs/>
                <w:sz w:val="24"/>
                <w:szCs w:val="24"/>
                <w:lang w:val="en-US" w:eastAsia="uk-UA"/>
              </w:rPr>
              <w:t>J</w:t>
            </w:r>
            <w:r w:rsidR="00654195" w:rsidRPr="00AC3AE4">
              <w:rPr>
                <w:rFonts w:ascii="Times New Roman" w:eastAsia="Times New Roman" w:hAnsi="Times New Roman" w:cs="Times New Roman"/>
                <w:bCs/>
                <w:sz w:val="24"/>
                <w:szCs w:val="24"/>
                <w:lang w:eastAsia="uk-UA"/>
              </w:rPr>
              <w:t>005</w:t>
            </w:r>
          </w:p>
        </w:tc>
        <w:tc>
          <w:tcPr>
            <w:tcW w:w="6237" w:type="dxa"/>
            <w:shd w:val="clear" w:color="auto" w:fill="auto"/>
          </w:tcPr>
          <w:p w14:paraId="2BF303A2" w14:textId="6B98F744" w:rsidR="0007236E" w:rsidRPr="00AC3AE4" w:rsidRDefault="0007236E" w:rsidP="0007236E">
            <w:pPr>
              <w:jc w:val="both"/>
              <w:rPr>
                <w:rFonts w:ascii="Times New Roman" w:hAnsi="Times New Roman" w:cs="Times New Roman"/>
                <w:b/>
                <w:sz w:val="24"/>
                <w:szCs w:val="24"/>
                <w:lang w:eastAsia="uk-UA"/>
              </w:rPr>
            </w:pPr>
            <w:r w:rsidRPr="00AC3AE4">
              <w:rPr>
                <w:rFonts w:ascii="Times New Roman" w:hAnsi="Times New Roman" w:cs="Times New Roman"/>
                <w:b/>
                <w:sz w:val="24"/>
                <w:szCs w:val="24"/>
                <w:lang w:eastAsia="uk-UA"/>
              </w:rPr>
              <w:t>Розмір дебіторської за</w:t>
            </w:r>
            <w:r w:rsidR="00615624" w:rsidRPr="00AC3AE4">
              <w:rPr>
                <w:rFonts w:ascii="Times New Roman" w:hAnsi="Times New Roman" w:cs="Times New Roman"/>
                <w:b/>
                <w:sz w:val="24"/>
                <w:szCs w:val="24"/>
                <w:lang w:eastAsia="uk-UA"/>
              </w:rPr>
              <w:t>боргованості за операціями репо / </w:t>
            </w:r>
            <w:r w:rsidRPr="00AC3AE4">
              <w:rPr>
                <w:rFonts w:ascii="Times New Roman" w:hAnsi="Times New Roman" w:cs="Times New Roman"/>
                <w:b/>
                <w:sz w:val="24"/>
                <w:szCs w:val="24"/>
                <w:lang w:eastAsia="uk-UA"/>
              </w:rPr>
              <w:t xml:space="preserve">зворотного репо, </w:t>
            </w:r>
            <w:r w:rsidR="00CE3862">
              <w:rPr>
                <w:rFonts w:ascii="Times New Roman" w:hAnsi="Times New Roman" w:cs="Times New Roman"/>
                <w:b/>
                <w:sz w:val="24"/>
                <w:szCs w:val="24"/>
                <w:lang w:eastAsia="uk-UA"/>
              </w:rPr>
              <w:t>що згортається</w:t>
            </w:r>
          </w:p>
          <w:p w14:paraId="28E3427C" w14:textId="28E5EFB1" w:rsidR="0007236E" w:rsidRPr="0074153B" w:rsidRDefault="0007236E" w:rsidP="008D2397">
            <w:pPr>
              <w:jc w:val="both"/>
              <w:rPr>
                <w:rFonts w:ascii="Times New Roman" w:hAnsi="Times New Roman" w:cs="Times New Roman"/>
                <w:b/>
                <w:strike/>
                <w:sz w:val="24"/>
                <w:szCs w:val="24"/>
                <w:lang w:eastAsia="uk-UA"/>
              </w:rPr>
            </w:pPr>
            <w:r w:rsidRPr="00AC3AE4">
              <w:rPr>
                <w:rFonts w:ascii="Times New Roman" w:hAnsi="Times New Roman" w:cs="Times New Roman"/>
                <w:sz w:val="24"/>
                <w:szCs w:val="24"/>
                <w:lang w:eastAsia="uk-UA"/>
              </w:rPr>
              <w:t>1.</w:t>
            </w:r>
            <w:r w:rsidRPr="00AC3AE4">
              <w:rPr>
                <w:rFonts w:ascii="Times New Roman" w:eastAsia="Times New Roman" w:hAnsi="Times New Roman" w:cs="Times New Roman"/>
                <w:sz w:val="24"/>
                <w:szCs w:val="24"/>
                <w:lang w:eastAsia="uk-UA"/>
              </w:rPr>
              <w:t xml:space="preserve"> Сума за складовою </w:t>
            </w:r>
            <w:r w:rsidRPr="00AC3AE4">
              <w:rPr>
                <w:rFonts w:ascii="Times New Roman" w:hAnsi="Times New Roman" w:cs="Times New Roman"/>
                <w:sz w:val="24"/>
                <w:szCs w:val="24"/>
                <w:lang w:eastAsia="uk-UA"/>
              </w:rPr>
              <w:t xml:space="preserve">сукупних активів </w:t>
            </w:r>
            <w:r w:rsidR="00C94611">
              <w:rPr>
                <w:rFonts w:ascii="Times New Roman" w:hAnsi="Times New Roman" w:cs="Times New Roman"/>
                <w:sz w:val="24"/>
                <w:szCs w:val="24"/>
                <w:lang w:eastAsia="uk-UA"/>
              </w:rPr>
              <w:t>т</w:t>
            </w:r>
            <w:r w:rsidR="004F67A4">
              <w:rPr>
                <w:rFonts w:ascii="Times New Roman" w:hAnsi="Times New Roman" w:cs="Times New Roman"/>
                <w:sz w:val="24"/>
                <w:szCs w:val="24"/>
                <w:lang w:eastAsia="uk-UA"/>
              </w:rPr>
              <w:t>а позабалансових зобов’язань – </w:t>
            </w:r>
            <w:r w:rsidRPr="00AC3AE4">
              <w:rPr>
                <w:rFonts w:ascii="Times New Roman" w:hAnsi="Times New Roman" w:cs="Times New Roman"/>
                <w:sz w:val="24"/>
                <w:szCs w:val="24"/>
                <w:lang w:eastAsia="uk-UA"/>
              </w:rPr>
              <w:t xml:space="preserve">сукупний розмір балансової вартості дебіторської заборгованості </w:t>
            </w:r>
            <w:r w:rsidR="00451DFD" w:rsidRPr="00AC3AE4">
              <w:rPr>
                <w:rFonts w:ascii="Times New Roman" w:hAnsi="Times New Roman" w:cs="Times New Roman"/>
                <w:sz w:val="24"/>
                <w:szCs w:val="24"/>
                <w:lang w:eastAsia="uk-UA"/>
              </w:rPr>
              <w:t xml:space="preserve">за </w:t>
            </w:r>
            <w:r w:rsidR="00451DFD" w:rsidRPr="00AC3AE4">
              <w:rPr>
                <w:rFonts w:ascii="Times New Roman" w:hAnsi="Times New Roman" w:cs="Times New Roman"/>
                <w:sz w:val="24"/>
                <w:szCs w:val="24"/>
                <w:lang w:eastAsia="uk-UA"/>
              </w:rPr>
              <w:lastRenderedPageBreak/>
              <w:t>операціями репо </w:t>
            </w:r>
            <w:r w:rsidRPr="00AC3AE4">
              <w:rPr>
                <w:rFonts w:ascii="Times New Roman" w:hAnsi="Times New Roman" w:cs="Times New Roman"/>
                <w:sz w:val="24"/>
                <w:szCs w:val="24"/>
                <w:lang w:eastAsia="uk-UA"/>
              </w:rPr>
              <w:t>/</w:t>
            </w:r>
            <w:r w:rsidR="00451DFD" w:rsidRPr="00AC3AE4">
              <w:rPr>
                <w:rFonts w:ascii="Times New Roman" w:hAnsi="Times New Roman" w:cs="Times New Roman"/>
                <w:sz w:val="24"/>
                <w:szCs w:val="24"/>
                <w:lang w:eastAsia="uk-UA"/>
              </w:rPr>
              <w:t> </w:t>
            </w:r>
            <w:r w:rsidRPr="00AC3AE4">
              <w:rPr>
                <w:rFonts w:ascii="Times New Roman" w:hAnsi="Times New Roman" w:cs="Times New Roman"/>
                <w:sz w:val="24"/>
                <w:szCs w:val="24"/>
                <w:lang w:eastAsia="uk-UA"/>
              </w:rPr>
              <w:t>зворотного репо,</w:t>
            </w:r>
            <w:r w:rsidR="00F3521B">
              <w:rPr>
                <w:rFonts w:ascii="Times New Roman" w:hAnsi="Times New Roman" w:cs="Times New Roman"/>
                <w:sz w:val="24"/>
                <w:szCs w:val="24"/>
                <w:lang w:eastAsia="uk-UA"/>
              </w:rPr>
              <w:t xml:space="preserve"> яка</w:t>
            </w:r>
            <w:r w:rsidRPr="00AC3AE4">
              <w:rPr>
                <w:rFonts w:ascii="Times New Roman" w:hAnsi="Times New Roman" w:cs="Times New Roman"/>
                <w:sz w:val="24"/>
                <w:szCs w:val="24"/>
                <w:lang w:eastAsia="uk-UA"/>
              </w:rPr>
              <w:t xml:space="preserve"> </w:t>
            </w:r>
            <w:r w:rsidR="00ED067C" w:rsidRPr="0059112B">
              <w:rPr>
                <w:rFonts w:ascii="Times New Roman" w:hAnsi="Times New Roman" w:cs="Times New Roman"/>
                <w:sz w:val="24"/>
                <w:szCs w:val="24"/>
                <w:lang w:eastAsia="uk-UA"/>
              </w:rPr>
              <w:t>включається до</w:t>
            </w:r>
            <w:r w:rsidR="00ED067C">
              <w:rPr>
                <w:rFonts w:ascii="Times New Roman" w:hAnsi="Times New Roman" w:cs="Times New Roman"/>
                <w:sz w:val="24"/>
                <w:szCs w:val="24"/>
                <w:lang w:eastAsia="uk-UA"/>
              </w:rPr>
              <w:t xml:space="preserve"> </w:t>
            </w:r>
            <w:r w:rsidR="00ED067C" w:rsidRPr="006A6C3E">
              <w:rPr>
                <w:rFonts w:ascii="Times New Roman" w:hAnsi="Times New Roman" w:cs="Times New Roman"/>
                <w:sz w:val="24"/>
                <w:szCs w:val="24"/>
                <w:lang w:eastAsia="uk-UA"/>
              </w:rPr>
              <w:t xml:space="preserve">розрахунку </w:t>
            </w:r>
            <w:r w:rsidR="00F3521B">
              <w:rPr>
                <w:rFonts w:ascii="Times New Roman" w:hAnsi="Times New Roman" w:cs="Times New Roman"/>
                <w:sz w:val="24"/>
                <w:szCs w:val="24"/>
                <w:lang w:eastAsia="uk-UA"/>
              </w:rPr>
              <w:t>сукупного</w:t>
            </w:r>
            <w:r w:rsidR="00F3521B" w:rsidRPr="006A6C3E">
              <w:rPr>
                <w:rFonts w:ascii="Times New Roman" w:hAnsi="Times New Roman" w:cs="Times New Roman"/>
                <w:sz w:val="24"/>
                <w:szCs w:val="24"/>
                <w:lang w:eastAsia="uk-UA"/>
              </w:rPr>
              <w:t xml:space="preserve"> розмір</w:t>
            </w:r>
            <w:r w:rsidR="00F3521B">
              <w:rPr>
                <w:rFonts w:ascii="Times New Roman" w:hAnsi="Times New Roman" w:cs="Times New Roman"/>
                <w:sz w:val="24"/>
                <w:szCs w:val="24"/>
                <w:lang w:eastAsia="uk-UA"/>
              </w:rPr>
              <w:t>у</w:t>
            </w:r>
            <w:r w:rsidR="00F3521B" w:rsidRPr="006A6C3E">
              <w:rPr>
                <w:rFonts w:ascii="Times New Roman" w:hAnsi="Times New Roman" w:cs="Times New Roman"/>
                <w:sz w:val="24"/>
                <w:szCs w:val="24"/>
                <w:lang w:eastAsia="uk-UA"/>
              </w:rPr>
              <w:t xml:space="preserve"> експозицій за активами</w:t>
            </w:r>
            <w:r w:rsidR="00F3521B" w:rsidRPr="00AC3AE4">
              <w:rPr>
                <w:rFonts w:ascii="Times New Roman" w:hAnsi="Times New Roman" w:cs="Times New Roman"/>
                <w:sz w:val="24"/>
                <w:szCs w:val="24"/>
                <w:lang w:eastAsia="uk-UA"/>
              </w:rPr>
              <w:t xml:space="preserve"> </w:t>
            </w:r>
            <w:r w:rsidR="00ED067C" w:rsidRPr="00AC3AE4">
              <w:rPr>
                <w:rFonts w:ascii="Times New Roman" w:hAnsi="Times New Roman" w:cs="Times New Roman"/>
                <w:sz w:val="24"/>
                <w:szCs w:val="24"/>
                <w:lang w:eastAsia="uk-UA"/>
              </w:rPr>
              <w:t xml:space="preserve">згідно з пунктом 13 </w:t>
            </w:r>
            <w:r w:rsidR="00ED067C" w:rsidRPr="00AC3AE4">
              <w:rPr>
                <w:rFonts w:ascii="Times New Roman" w:eastAsia="Times New Roman" w:hAnsi="Times New Roman" w:cs="Times New Roman"/>
                <w:sz w:val="24"/>
                <w:szCs w:val="24"/>
                <w:lang w:eastAsia="uk-UA"/>
              </w:rPr>
              <w:t xml:space="preserve">розділу </w:t>
            </w:r>
            <w:r w:rsidR="00ED067C" w:rsidRPr="00AC3AE4">
              <w:rPr>
                <w:rFonts w:ascii="Times New Roman" w:eastAsia="Times New Roman" w:hAnsi="Times New Roman" w:cs="Times New Roman"/>
                <w:sz w:val="24"/>
                <w:szCs w:val="24"/>
                <w:lang w:val="en-US" w:eastAsia="uk-UA"/>
              </w:rPr>
              <w:t>II</w:t>
            </w:r>
            <w:r w:rsidR="00ED067C" w:rsidRPr="00AC3AE4">
              <w:rPr>
                <w:rFonts w:ascii="Times New Roman" w:eastAsia="Times New Roman" w:hAnsi="Times New Roman" w:cs="Times New Roman"/>
                <w:sz w:val="24"/>
                <w:szCs w:val="24"/>
                <w:lang w:eastAsia="uk-UA"/>
              </w:rPr>
              <w:t xml:space="preserve"> Положення № 89</w:t>
            </w:r>
            <w:r w:rsidR="00ED067C">
              <w:rPr>
                <w:rFonts w:ascii="Times New Roman" w:eastAsia="Times New Roman" w:hAnsi="Times New Roman" w:cs="Times New Roman"/>
                <w:sz w:val="24"/>
                <w:szCs w:val="24"/>
                <w:lang w:eastAsia="uk-UA"/>
              </w:rPr>
              <w:t xml:space="preserve">, </w:t>
            </w:r>
            <w:r w:rsidR="00D10A2E" w:rsidRPr="000D15DC">
              <w:rPr>
                <w:rFonts w:ascii="Times New Roman" w:eastAsia="Times New Roman" w:hAnsi="Times New Roman" w:cs="Times New Roman"/>
                <w:sz w:val="24"/>
                <w:szCs w:val="24"/>
                <w:lang w:eastAsia="uk-UA"/>
              </w:rPr>
              <w:t xml:space="preserve">з урахуванням </w:t>
            </w:r>
            <w:r w:rsidR="00D10A2E" w:rsidRPr="000D15DC">
              <w:rPr>
                <w:rFonts w:ascii="Times New Roman" w:hAnsi="Times New Roman" w:cs="Times New Roman"/>
                <w:sz w:val="24"/>
                <w:szCs w:val="24"/>
                <w:lang w:eastAsia="uk-UA"/>
              </w:rPr>
              <w:t>R020(GR181)/T020(1), R020(GR189)/T020(2), R020(GR280)/T020(1), R020(2890)/T020(2), R020(GR354)/T020(1), R020(GR359)/T020(2).</w:t>
            </w:r>
          </w:p>
        </w:tc>
      </w:tr>
      <w:tr w:rsidR="00CA443A" w:rsidRPr="00CA443A" w14:paraId="772FDBF5" w14:textId="77777777" w:rsidTr="00920CCC">
        <w:tc>
          <w:tcPr>
            <w:tcW w:w="567" w:type="dxa"/>
            <w:tcBorders>
              <w:top w:val="single" w:sz="4" w:space="0" w:color="auto"/>
            </w:tcBorders>
            <w:shd w:val="clear" w:color="auto" w:fill="auto"/>
          </w:tcPr>
          <w:p w14:paraId="3DD39873" w14:textId="61E41E60" w:rsidR="0007236E" w:rsidRPr="00CA443A" w:rsidRDefault="00654195" w:rsidP="0007236E">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lastRenderedPageBreak/>
              <w:t>6</w:t>
            </w:r>
          </w:p>
        </w:tc>
        <w:tc>
          <w:tcPr>
            <w:tcW w:w="2668" w:type="dxa"/>
            <w:shd w:val="clear" w:color="auto" w:fill="auto"/>
          </w:tcPr>
          <w:p w14:paraId="65F444B2" w14:textId="77777777" w:rsidR="0007236E" w:rsidRPr="00CA443A" w:rsidRDefault="0007236E" w:rsidP="0007236E">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798C466C" w14:textId="44112E06" w:rsidR="0007236E" w:rsidRPr="00CA443A" w:rsidRDefault="00451DFD" w:rsidP="0007236E">
            <w:pPr>
              <w:jc w:val="center"/>
              <w:rPr>
                <w:rFonts w:ascii="Times New Roman" w:eastAsia="Times New Roman" w:hAnsi="Times New Roman" w:cs="Times New Roman"/>
                <w:sz w:val="24"/>
                <w:szCs w:val="24"/>
                <w:lang w:eastAsia="uk-UA"/>
              </w:rPr>
            </w:pPr>
            <w:r w:rsidRPr="00CA443A">
              <w:rPr>
                <w:rFonts w:ascii="Times New Roman" w:hAnsi="Times New Roman" w:cs="Times New Roman"/>
                <w:sz w:val="24"/>
                <w:szCs w:val="24"/>
                <w:lang w:eastAsia="uk-UA"/>
              </w:rPr>
              <w:t xml:space="preserve">Сукупний розмір </w:t>
            </w:r>
            <w:r w:rsidR="0007236E" w:rsidRPr="00CA443A">
              <w:rPr>
                <w:rFonts w:ascii="Times New Roman" w:hAnsi="Times New Roman" w:cs="Times New Roman"/>
                <w:sz w:val="24"/>
                <w:szCs w:val="24"/>
                <w:lang w:eastAsia="uk-UA"/>
              </w:rPr>
              <w:t>експозицій за активами (крім деривативів)</w:t>
            </w:r>
          </w:p>
        </w:tc>
        <w:tc>
          <w:tcPr>
            <w:tcW w:w="1019" w:type="dxa"/>
            <w:shd w:val="clear" w:color="auto" w:fill="auto"/>
          </w:tcPr>
          <w:p w14:paraId="1576847D" w14:textId="2D29B6C7" w:rsidR="0007236E" w:rsidRPr="00CA443A" w:rsidRDefault="0007236E" w:rsidP="0007236E">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654195" w:rsidRPr="00CA443A">
              <w:rPr>
                <w:rFonts w:ascii="Times New Roman" w:eastAsia="Times New Roman" w:hAnsi="Times New Roman" w:cs="Times New Roman"/>
                <w:bCs/>
                <w:sz w:val="24"/>
                <w:szCs w:val="24"/>
                <w:lang w:eastAsia="uk-UA"/>
              </w:rPr>
              <w:t>006</w:t>
            </w:r>
          </w:p>
        </w:tc>
        <w:tc>
          <w:tcPr>
            <w:tcW w:w="6237" w:type="dxa"/>
            <w:shd w:val="clear" w:color="auto" w:fill="auto"/>
          </w:tcPr>
          <w:p w14:paraId="4FA1D36B" w14:textId="397A3ED0" w:rsidR="0007236E" w:rsidRPr="00CA443A" w:rsidRDefault="0007236E" w:rsidP="0007236E">
            <w:pPr>
              <w:pStyle w:val="a3"/>
              <w:ind w:left="0"/>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Розмі</w:t>
            </w:r>
            <w:r w:rsidR="00FA2C6B" w:rsidRPr="00CA443A">
              <w:rPr>
                <w:rFonts w:ascii="Times New Roman" w:hAnsi="Times New Roman" w:cs="Times New Roman"/>
                <w:b/>
                <w:sz w:val="24"/>
                <w:szCs w:val="24"/>
                <w:lang w:eastAsia="uk-UA"/>
              </w:rPr>
              <w:t xml:space="preserve">р інших </w:t>
            </w:r>
            <w:r w:rsidR="00FC1E98" w:rsidRPr="00CA443A">
              <w:rPr>
                <w:rFonts w:ascii="Times New Roman" w:hAnsi="Times New Roman" w:cs="Times New Roman"/>
                <w:b/>
                <w:sz w:val="24"/>
                <w:szCs w:val="24"/>
                <w:lang w:eastAsia="uk-UA"/>
              </w:rPr>
              <w:t>активів до згортання</w:t>
            </w:r>
          </w:p>
          <w:p w14:paraId="295DC65C" w14:textId="557129C8" w:rsidR="0007236E" w:rsidRPr="003F0995" w:rsidRDefault="0007236E" w:rsidP="0007236E">
            <w:pPr>
              <w:pStyle w:val="a3"/>
              <w:ind w:left="0"/>
              <w:jc w:val="both"/>
              <w:rPr>
                <w:rFonts w:ascii="Times New Roman" w:hAnsi="Times New Roman" w:cs="Times New Roman"/>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(крім деривативів) до згортання</w:t>
            </w:r>
            <w:r w:rsidR="00540F9A" w:rsidRPr="00CA443A">
              <w:rPr>
                <w:rFonts w:ascii="Times New Roman" w:hAnsi="Times New Roman" w:cs="Times New Roman"/>
                <w:sz w:val="24"/>
                <w:szCs w:val="24"/>
                <w:lang w:eastAsia="uk-UA"/>
              </w:rPr>
              <w:t xml:space="preserve">, </w:t>
            </w:r>
            <w:r w:rsidR="00893D08" w:rsidRPr="00CA443A">
              <w:rPr>
                <w:rFonts w:ascii="Times New Roman" w:hAnsi="Times New Roman" w:cs="Times New Roman"/>
                <w:sz w:val="24"/>
                <w:szCs w:val="24"/>
                <w:lang w:eastAsia="uk-UA"/>
              </w:rPr>
              <w:t xml:space="preserve">визначений з урахуванням рахунків, зазначених у пункті </w:t>
            </w:r>
            <w:r w:rsidR="008216C5" w:rsidRPr="00CA443A">
              <w:rPr>
                <w:rFonts w:ascii="Times New Roman" w:hAnsi="Times New Roman" w:cs="Times New Roman"/>
                <w:sz w:val="24"/>
                <w:szCs w:val="24"/>
                <w:lang w:eastAsia="uk-UA"/>
              </w:rPr>
              <w:t xml:space="preserve">1 Правил формування </w:t>
            </w:r>
            <w:r w:rsidR="008216C5" w:rsidRPr="003F0995">
              <w:rPr>
                <w:rFonts w:ascii="Times New Roman" w:hAnsi="Times New Roman" w:cs="Times New Roman"/>
                <w:sz w:val="24"/>
                <w:szCs w:val="24"/>
                <w:lang w:eastAsia="uk-UA"/>
              </w:rPr>
              <w:t>показника</w:t>
            </w:r>
            <w:r w:rsidR="00285C1A" w:rsidRPr="003F0995">
              <w:rPr>
                <w:rFonts w:ascii="Times New Roman" w:hAnsi="Times New Roman" w:cs="Times New Roman"/>
                <w:sz w:val="24"/>
                <w:szCs w:val="24"/>
                <w:lang w:eastAsia="uk-UA"/>
              </w:rPr>
              <w:t xml:space="preserve"> </w:t>
            </w:r>
            <w:r w:rsidR="00285C1A" w:rsidRPr="003F0995">
              <w:rPr>
                <w:rFonts w:ascii="Times New Roman" w:eastAsia="Times New Roman" w:hAnsi="Times New Roman" w:cs="Times New Roman"/>
                <w:bCs/>
                <w:sz w:val="24"/>
                <w:szCs w:val="24"/>
                <w:lang w:eastAsia="uk-UA"/>
              </w:rPr>
              <w:t>A6</w:t>
            </w:r>
            <w:r w:rsidR="00CA443A" w:rsidRPr="003F0995">
              <w:rPr>
                <w:rFonts w:ascii="Times New Roman" w:eastAsia="Times New Roman" w:hAnsi="Times New Roman" w:cs="Times New Roman"/>
                <w:bCs/>
                <w:sz w:val="24"/>
                <w:szCs w:val="24"/>
                <w:lang w:val="en-US" w:eastAsia="uk-UA"/>
              </w:rPr>
              <w:t>J</w:t>
            </w:r>
            <w:r w:rsidR="00285C1A" w:rsidRPr="003F0995">
              <w:rPr>
                <w:rFonts w:ascii="Times New Roman" w:eastAsia="Times New Roman" w:hAnsi="Times New Roman" w:cs="Times New Roman"/>
                <w:bCs/>
                <w:sz w:val="24"/>
                <w:szCs w:val="24"/>
                <w:lang w:eastAsia="uk-UA"/>
              </w:rPr>
              <w:t>003.</w:t>
            </w:r>
          </w:p>
          <w:p w14:paraId="7EC56E92" w14:textId="7875DF66" w:rsidR="0007236E" w:rsidRPr="00BA720A" w:rsidRDefault="0007236E" w:rsidP="00185599">
            <w:pPr>
              <w:pStyle w:val="a3"/>
              <w:ind w:left="0"/>
              <w:jc w:val="both"/>
              <w:rPr>
                <w:rFonts w:ascii="Times New Roman" w:hAnsi="Times New Roman" w:cs="Times New Roman"/>
                <w:sz w:val="24"/>
                <w:szCs w:val="24"/>
                <w:lang w:eastAsia="uk-UA"/>
              </w:rPr>
            </w:pPr>
            <w:r w:rsidRPr="003F0995">
              <w:rPr>
                <w:rFonts w:ascii="Times New Roman" w:hAnsi="Times New Roman" w:cs="Times New Roman"/>
                <w:sz w:val="24"/>
                <w:szCs w:val="24"/>
                <w:lang w:eastAsia="uk-UA"/>
              </w:rPr>
              <w:t>2.</w:t>
            </w:r>
            <w:r w:rsidR="001B3036" w:rsidRPr="003F0995">
              <w:rPr>
                <w:rFonts w:ascii="Times New Roman" w:hAnsi="Times New Roman" w:cs="Times New Roman"/>
                <w:sz w:val="24"/>
                <w:szCs w:val="24"/>
                <w:lang w:eastAsia="uk-UA"/>
              </w:rPr>
              <w:t xml:space="preserve"> До </w:t>
            </w:r>
            <w:r w:rsidR="005F769C" w:rsidRPr="003F0995">
              <w:rPr>
                <w:rFonts w:ascii="Times New Roman" w:hAnsi="Times New Roman" w:cs="Times New Roman"/>
                <w:sz w:val="24"/>
                <w:szCs w:val="24"/>
                <w:lang w:eastAsia="uk-UA"/>
              </w:rPr>
              <w:t xml:space="preserve">цього </w:t>
            </w:r>
            <w:r w:rsidR="001B3036" w:rsidRPr="003F0995">
              <w:rPr>
                <w:rFonts w:ascii="Times New Roman" w:hAnsi="Times New Roman" w:cs="Times New Roman"/>
                <w:sz w:val="24"/>
                <w:szCs w:val="24"/>
                <w:lang w:eastAsia="uk-UA"/>
              </w:rPr>
              <w:t>показника включається</w:t>
            </w:r>
            <w:r w:rsidR="002221BA" w:rsidRPr="003F0995">
              <w:rPr>
                <w:rFonts w:ascii="Times New Roman" w:hAnsi="Times New Roman" w:cs="Times New Roman"/>
                <w:sz w:val="24"/>
                <w:szCs w:val="24"/>
                <w:lang w:eastAsia="uk-UA"/>
              </w:rPr>
              <w:t xml:space="preserve"> балансов</w:t>
            </w:r>
            <w:r w:rsidR="00185599" w:rsidRPr="003F0995">
              <w:rPr>
                <w:rFonts w:ascii="Times New Roman" w:hAnsi="Times New Roman" w:cs="Times New Roman"/>
                <w:sz w:val="24"/>
                <w:szCs w:val="24"/>
                <w:lang w:eastAsia="uk-UA"/>
              </w:rPr>
              <w:t>а</w:t>
            </w:r>
            <w:r w:rsidR="002221BA" w:rsidRPr="003F0995">
              <w:rPr>
                <w:rFonts w:ascii="Times New Roman" w:hAnsi="Times New Roman" w:cs="Times New Roman"/>
                <w:sz w:val="24"/>
                <w:szCs w:val="24"/>
                <w:lang w:eastAsia="uk-UA"/>
              </w:rPr>
              <w:t xml:space="preserve"> варт</w:t>
            </w:r>
            <w:r w:rsidR="00185599" w:rsidRPr="003F0995">
              <w:rPr>
                <w:rFonts w:ascii="Times New Roman" w:hAnsi="Times New Roman" w:cs="Times New Roman"/>
                <w:sz w:val="24"/>
                <w:szCs w:val="24"/>
                <w:lang w:eastAsia="uk-UA"/>
              </w:rPr>
              <w:t>ість</w:t>
            </w:r>
            <w:r w:rsidR="00054A2C" w:rsidRPr="003F0995">
              <w:rPr>
                <w:rFonts w:ascii="Times New Roman" w:hAnsi="Times New Roman" w:cs="Times New Roman"/>
                <w:sz w:val="24"/>
                <w:szCs w:val="24"/>
                <w:lang w:eastAsia="uk-UA"/>
              </w:rPr>
              <w:t xml:space="preserve"> активів</w:t>
            </w:r>
            <w:r w:rsidR="00D631E5" w:rsidRPr="003F0995">
              <w:rPr>
                <w:rFonts w:ascii="Times New Roman" w:hAnsi="Times New Roman" w:cs="Times New Roman"/>
                <w:sz w:val="24"/>
                <w:szCs w:val="24"/>
                <w:lang w:eastAsia="uk-UA"/>
              </w:rPr>
              <w:t xml:space="preserve"> до </w:t>
            </w:r>
            <w:r w:rsidR="00762018" w:rsidRPr="003F0995">
              <w:rPr>
                <w:rFonts w:ascii="Times New Roman" w:hAnsi="Times New Roman" w:cs="Times New Roman"/>
                <w:sz w:val="24"/>
                <w:szCs w:val="24"/>
                <w:lang w:eastAsia="uk-UA"/>
              </w:rPr>
              <w:t>згортання</w:t>
            </w:r>
            <w:r w:rsidR="006C1B8D" w:rsidRPr="003F0995">
              <w:rPr>
                <w:rFonts w:ascii="Times New Roman" w:hAnsi="Times New Roman" w:cs="Times New Roman"/>
                <w:sz w:val="24"/>
                <w:szCs w:val="24"/>
                <w:lang w:eastAsia="uk-UA"/>
              </w:rPr>
              <w:t>,</w:t>
            </w:r>
            <w:r w:rsidR="00C403B3" w:rsidRPr="003F0995">
              <w:rPr>
                <w:rFonts w:ascii="Times New Roman" w:hAnsi="Times New Roman" w:cs="Times New Roman"/>
                <w:sz w:val="24"/>
                <w:szCs w:val="24"/>
                <w:lang w:eastAsia="uk-UA"/>
              </w:rPr>
              <w:t xml:space="preserve"> </w:t>
            </w:r>
            <w:r w:rsidR="00AE7654" w:rsidRPr="003F0995">
              <w:rPr>
                <w:rFonts w:ascii="Times New Roman" w:hAnsi="Times New Roman" w:cs="Times New Roman"/>
                <w:sz w:val="24"/>
                <w:szCs w:val="24"/>
                <w:lang w:eastAsia="uk-UA"/>
              </w:rPr>
              <w:t>як</w:t>
            </w:r>
            <w:r w:rsidR="006C1B8D" w:rsidRPr="003F0995">
              <w:rPr>
                <w:rFonts w:ascii="Times New Roman" w:hAnsi="Times New Roman" w:cs="Times New Roman"/>
                <w:sz w:val="24"/>
                <w:szCs w:val="24"/>
                <w:lang w:eastAsia="uk-UA"/>
              </w:rPr>
              <w:t>і</w:t>
            </w:r>
            <w:r w:rsidR="00AE7654" w:rsidRPr="003F0995">
              <w:rPr>
                <w:rFonts w:ascii="Times New Roman" w:hAnsi="Times New Roman" w:cs="Times New Roman"/>
                <w:sz w:val="24"/>
                <w:szCs w:val="24"/>
                <w:lang w:eastAsia="uk-UA"/>
              </w:rPr>
              <w:t xml:space="preserve"> банк </w:t>
            </w:r>
            <w:r w:rsidR="00B40B36" w:rsidRPr="003F0995">
              <w:rPr>
                <w:rFonts w:ascii="Times New Roman" w:hAnsi="Times New Roman" w:cs="Times New Roman"/>
                <w:sz w:val="24"/>
                <w:szCs w:val="24"/>
                <w:lang w:eastAsia="uk-UA"/>
              </w:rPr>
              <w:t xml:space="preserve">згорнув </w:t>
            </w:r>
            <w:r w:rsidRPr="003F0995">
              <w:rPr>
                <w:rFonts w:ascii="Times New Roman" w:hAnsi="Times New Roman" w:cs="Times New Roman"/>
                <w:sz w:val="24"/>
                <w:szCs w:val="24"/>
                <w:lang w:eastAsia="uk-UA"/>
              </w:rPr>
              <w:t>із зобов’язаннями</w:t>
            </w:r>
            <w:r w:rsidR="00BA720A" w:rsidRPr="003F0995">
              <w:rPr>
                <w:rFonts w:ascii="Times New Roman" w:eastAsia="Times New Roman" w:hAnsi="Times New Roman" w:cs="Times New Roman"/>
                <w:sz w:val="24"/>
                <w:szCs w:val="24"/>
                <w:lang w:eastAsia="uk-UA"/>
              </w:rPr>
              <w:t xml:space="preserve"> </w:t>
            </w:r>
            <w:r w:rsidR="00F75C8C" w:rsidRPr="003F0995">
              <w:rPr>
                <w:rFonts w:ascii="Times New Roman" w:eastAsia="Times New Roman" w:hAnsi="Times New Roman" w:cs="Times New Roman"/>
                <w:sz w:val="24"/>
                <w:szCs w:val="24"/>
                <w:lang w:eastAsia="uk-UA"/>
              </w:rPr>
              <w:t xml:space="preserve">у випадках, встановлених </w:t>
            </w:r>
            <w:r w:rsidR="00762018" w:rsidRPr="003F0995">
              <w:rPr>
                <w:rFonts w:ascii="Times New Roman" w:eastAsia="Times New Roman" w:hAnsi="Times New Roman" w:cs="Times New Roman"/>
                <w:sz w:val="24"/>
                <w:szCs w:val="24"/>
                <w:lang w:eastAsia="uk-UA"/>
              </w:rPr>
              <w:t>Положення</w:t>
            </w:r>
            <w:r w:rsidR="00F75C8C" w:rsidRPr="003F0995">
              <w:rPr>
                <w:rFonts w:ascii="Times New Roman" w:eastAsia="Times New Roman" w:hAnsi="Times New Roman" w:cs="Times New Roman"/>
                <w:sz w:val="24"/>
                <w:szCs w:val="24"/>
                <w:lang w:eastAsia="uk-UA"/>
              </w:rPr>
              <w:t>м</w:t>
            </w:r>
            <w:r w:rsidR="00762018" w:rsidRPr="003F0995">
              <w:rPr>
                <w:rFonts w:ascii="Times New Roman" w:eastAsia="Times New Roman" w:hAnsi="Times New Roman" w:cs="Times New Roman"/>
                <w:sz w:val="24"/>
                <w:szCs w:val="24"/>
                <w:lang w:eastAsia="uk-UA"/>
              </w:rPr>
              <w:t xml:space="preserve"> № </w:t>
            </w:r>
            <w:r w:rsidR="00D631E5" w:rsidRPr="003F0995">
              <w:rPr>
                <w:rFonts w:ascii="Times New Roman" w:eastAsia="Times New Roman" w:hAnsi="Times New Roman" w:cs="Times New Roman"/>
                <w:sz w:val="24"/>
                <w:szCs w:val="24"/>
                <w:lang w:eastAsia="uk-UA"/>
              </w:rPr>
              <w:t>75</w:t>
            </w:r>
            <w:r w:rsidR="000676A1" w:rsidRPr="003F0995">
              <w:rPr>
                <w:rFonts w:ascii="Times New Roman" w:eastAsia="Times New Roman" w:hAnsi="Times New Roman" w:cs="Times New Roman"/>
                <w:sz w:val="24"/>
                <w:szCs w:val="24"/>
                <w:lang w:eastAsia="uk-UA"/>
              </w:rPr>
              <w:t>,</w:t>
            </w:r>
            <w:r w:rsidR="00C403B3" w:rsidRPr="003F0995">
              <w:rPr>
                <w:rFonts w:ascii="Times New Roman" w:eastAsia="Times New Roman" w:hAnsi="Times New Roman" w:cs="Times New Roman"/>
                <w:sz w:val="24"/>
                <w:szCs w:val="24"/>
                <w:lang w:eastAsia="uk-UA"/>
              </w:rPr>
              <w:t xml:space="preserve"> та </w:t>
            </w:r>
            <w:r w:rsidR="00792485" w:rsidRPr="003F0995">
              <w:rPr>
                <w:rFonts w:ascii="Times New Roman" w:eastAsia="Times New Roman" w:hAnsi="Times New Roman" w:cs="Times New Roman"/>
                <w:sz w:val="24"/>
                <w:szCs w:val="24"/>
                <w:lang w:eastAsia="uk-UA"/>
              </w:rPr>
              <w:t>як</w:t>
            </w:r>
            <w:r w:rsidR="006C1B8D" w:rsidRPr="003F0995">
              <w:rPr>
                <w:rFonts w:ascii="Times New Roman" w:eastAsia="Times New Roman" w:hAnsi="Times New Roman" w:cs="Times New Roman"/>
                <w:sz w:val="24"/>
                <w:szCs w:val="24"/>
                <w:lang w:eastAsia="uk-UA"/>
              </w:rPr>
              <w:t>і</w:t>
            </w:r>
            <w:r w:rsidR="00792485" w:rsidRPr="003F0995">
              <w:rPr>
                <w:rFonts w:ascii="Times New Roman" w:eastAsia="Times New Roman" w:hAnsi="Times New Roman" w:cs="Times New Roman"/>
                <w:sz w:val="24"/>
                <w:szCs w:val="24"/>
                <w:lang w:eastAsia="uk-UA"/>
              </w:rPr>
              <w:t xml:space="preserve"> </w:t>
            </w:r>
            <w:r w:rsidR="00AE7654" w:rsidRPr="003F0995">
              <w:rPr>
                <w:rFonts w:ascii="Times New Roman" w:eastAsia="Times New Roman" w:hAnsi="Times New Roman" w:cs="Times New Roman"/>
                <w:sz w:val="24"/>
                <w:szCs w:val="24"/>
                <w:lang w:eastAsia="uk-UA"/>
              </w:rPr>
              <w:t xml:space="preserve">не </w:t>
            </w:r>
            <w:r w:rsidR="00792485" w:rsidRPr="003F0995">
              <w:rPr>
                <w:rFonts w:ascii="Times New Roman" w:eastAsia="Times New Roman" w:hAnsi="Times New Roman" w:cs="Times New Roman"/>
                <w:sz w:val="24"/>
                <w:szCs w:val="24"/>
                <w:lang w:eastAsia="uk-UA"/>
              </w:rPr>
              <w:t>відповіда</w:t>
            </w:r>
            <w:r w:rsidR="000676A1" w:rsidRPr="003F0995">
              <w:rPr>
                <w:rFonts w:ascii="Times New Roman" w:eastAsia="Times New Roman" w:hAnsi="Times New Roman" w:cs="Times New Roman"/>
                <w:sz w:val="24"/>
                <w:szCs w:val="24"/>
                <w:lang w:eastAsia="uk-UA"/>
              </w:rPr>
              <w:t xml:space="preserve">ють </w:t>
            </w:r>
            <w:r w:rsidR="00792485" w:rsidRPr="003F0995">
              <w:rPr>
                <w:rFonts w:ascii="Times New Roman" w:eastAsia="Times New Roman" w:hAnsi="Times New Roman" w:cs="Times New Roman"/>
                <w:sz w:val="24"/>
                <w:szCs w:val="24"/>
                <w:lang w:eastAsia="uk-UA"/>
              </w:rPr>
              <w:t>умова</w:t>
            </w:r>
            <w:r w:rsidR="00AE7654" w:rsidRPr="003F0995">
              <w:rPr>
                <w:rFonts w:ascii="Times New Roman" w:eastAsia="Times New Roman" w:hAnsi="Times New Roman" w:cs="Times New Roman"/>
                <w:sz w:val="24"/>
                <w:szCs w:val="24"/>
                <w:lang w:eastAsia="uk-UA"/>
              </w:rPr>
              <w:t>м</w:t>
            </w:r>
            <w:r w:rsidR="00792485" w:rsidRPr="003F0995">
              <w:rPr>
                <w:rFonts w:ascii="Times New Roman" w:eastAsia="Times New Roman" w:hAnsi="Times New Roman" w:cs="Times New Roman"/>
                <w:sz w:val="24"/>
                <w:szCs w:val="24"/>
                <w:lang w:eastAsia="uk-UA"/>
              </w:rPr>
              <w:t xml:space="preserve"> щодо згортання, визначеним</w:t>
            </w:r>
            <w:r w:rsidR="000B15EB" w:rsidRPr="003F0995">
              <w:rPr>
                <w:rFonts w:ascii="Times New Roman" w:eastAsia="Times New Roman" w:hAnsi="Times New Roman" w:cs="Times New Roman"/>
                <w:sz w:val="24"/>
                <w:szCs w:val="24"/>
                <w:lang w:eastAsia="uk-UA"/>
              </w:rPr>
              <w:t xml:space="preserve"> пунктами 12, </w:t>
            </w:r>
            <w:r w:rsidRPr="003F0995">
              <w:rPr>
                <w:rFonts w:ascii="Times New Roman" w:eastAsia="Times New Roman" w:hAnsi="Times New Roman" w:cs="Times New Roman"/>
                <w:sz w:val="24"/>
                <w:szCs w:val="24"/>
                <w:lang w:eastAsia="uk-UA"/>
              </w:rPr>
              <w:t xml:space="preserve">13 розділу </w:t>
            </w:r>
            <w:r w:rsidRPr="003F0995">
              <w:rPr>
                <w:rFonts w:ascii="Times New Roman" w:eastAsia="Times New Roman" w:hAnsi="Times New Roman" w:cs="Times New Roman"/>
                <w:sz w:val="24"/>
                <w:szCs w:val="24"/>
                <w:lang w:val="en-US" w:eastAsia="uk-UA"/>
              </w:rPr>
              <w:t>II</w:t>
            </w:r>
            <w:r w:rsidR="00FA2C6B" w:rsidRPr="003F0995">
              <w:rPr>
                <w:rFonts w:ascii="Times New Roman" w:eastAsia="Times New Roman" w:hAnsi="Times New Roman" w:cs="Times New Roman"/>
                <w:sz w:val="24"/>
                <w:szCs w:val="24"/>
                <w:lang w:eastAsia="uk-UA"/>
              </w:rPr>
              <w:t xml:space="preserve"> Положення № </w:t>
            </w:r>
            <w:r w:rsidR="00792485" w:rsidRPr="003F0995">
              <w:rPr>
                <w:rFonts w:ascii="Times New Roman" w:eastAsia="Times New Roman" w:hAnsi="Times New Roman" w:cs="Times New Roman"/>
                <w:sz w:val="24"/>
                <w:szCs w:val="24"/>
                <w:lang w:eastAsia="uk-UA"/>
              </w:rPr>
              <w:t>89 (</w:t>
            </w:r>
            <w:r w:rsidR="00EA6FEE" w:rsidRPr="003F0995">
              <w:rPr>
                <w:rFonts w:ascii="Times New Roman" w:eastAsia="Times New Roman" w:hAnsi="Times New Roman" w:cs="Times New Roman"/>
                <w:sz w:val="24"/>
                <w:szCs w:val="24"/>
                <w:lang w:eastAsia="uk-UA"/>
              </w:rPr>
              <w:t>не включена</w:t>
            </w:r>
            <w:r w:rsidR="00792485" w:rsidRPr="003F0995">
              <w:rPr>
                <w:rFonts w:ascii="Times New Roman" w:eastAsia="Times New Roman" w:hAnsi="Times New Roman" w:cs="Times New Roman"/>
                <w:sz w:val="24"/>
                <w:szCs w:val="24"/>
                <w:lang w:eastAsia="uk-UA"/>
              </w:rPr>
              <w:t xml:space="preserve"> до показників A6J004, A6J</w:t>
            </w:r>
            <w:r w:rsidR="000B15EB" w:rsidRPr="003F0995">
              <w:rPr>
                <w:rFonts w:ascii="Times New Roman" w:eastAsia="Times New Roman" w:hAnsi="Times New Roman" w:cs="Times New Roman"/>
                <w:sz w:val="24"/>
                <w:szCs w:val="24"/>
                <w:lang w:eastAsia="uk-UA"/>
              </w:rPr>
              <w:t>005</w:t>
            </w:r>
            <w:r w:rsidR="00792485" w:rsidRPr="003F0995">
              <w:rPr>
                <w:rFonts w:ascii="Times New Roman" w:eastAsia="Times New Roman" w:hAnsi="Times New Roman" w:cs="Times New Roman"/>
                <w:sz w:val="24"/>
                <w:szCs w:val="24"/>
                <w:lang w:eastAsia="uk-UA"/>
              </w:rPr>
              <w:t>)</w:t>
            </w:r>
            <w:r w:rsidR="0052308A" w:rsidRPr="003F0995">
              <w:rPr>
                <w:rFonts w:ascii="Times New Roman" w:eastAsia="Times New Roman" w:hAnsi="Times New Roman" w:cs="Times New Roman"/>
                <w:sz w:val="24"/>
                <w:szCs w:val="24"/>
                <w:lang w:eastAsia="uk-UA"/>
              </w:rPr>
              <w:t>.</w:t>
            </w:r>
          </w:p>
        </w:tc>
      </w:tr>
      <w:tr w:rsidR="00CA443A" w:rsidRPr="00CA443A" w14:paraId="2B5CB70A" w14:textId="77777777" w:rsidTr="00920CCC">
        <w:tc>
          <w:tcPr>
            <w:tcW w:w="567" w:type="dxa"/>
            <w:tcBorders>
              <w:top w:val="single" w:sz="4" w:space="0" w:color="auto"/>
            </w:tcBorders>
            <w:shd w:val="clear" w:color="auto" w:fill="auto"/>
          </w:tcPr>
          <w:p w14:paraId="521A98E6" w14:textId="4E5F317E"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7</w:t>
            </w:r>
          </w:p>
        </w:tc>
        <w:tc>
          <w:tcPr>
            <w:tcW w:w="2668" w:type="dxa"/>
            <w:shd w:val="clear" w:color="auto" w:fill="auto"/>
          </w:tcPr>
          <w:p w14:paraId="60FD6853" w14:textId="77777777"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61688B0A" w14:textId="14B261A9" w:rsidR="00425DFC" w:rsidRPr="00CA443A" w:rsidRDefault="00DD29B8"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w:t>
            </w:r>
            <w:r w:rsidR="00425DFC" w:rsidRPr="00CA443A">
              <w:rPr>
                <w:rFonts w:ascii="Times New Roman" w:hAnsi="Times New Roman" w:cs="Times New Roman"/>
                <w:sz w:val="24"/>
                <w:szCs w:val="24"/>
                <w:lang w:eastAsia="uk-UA"/>
              </w:rPr>
              <w:t xml:space="preserve"> за деривативами</w:t>
            </w:r>
          </w:p>
        </w:tc>
        <w:tc>
          <w:tcPr>
            <w:tcW w:w="1019" w:type="dxa"/>
            <w:shd w:val="clear" w:color="auto" w:fill="auto"/>
          </w:tcPr>
          <w:p w14:paraId="02AAF686" w14:textId="5541DC30" w:rsidR="00425DFC" w:rsidRPr="00CA443A" w:rsidRDefault="00425DFC" w:rsidP="00425DFC">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197F37" w:rsidRPr="00CA443A">
              <w:rPr>
                <w:rFonts w:ascii="Times New Roman" w:eastAsia="Times New Roman" w:hAnsi="Times New Roman" w:cs="Times New Roman"/>
                <w:bCs/>
                <w:sz w:val="24"/>
                <w:szCs w:val="24"/>
                <w:lang w:eastAsia="uk-UA"/>
              </w:rPr>
              <w:t>00</w:t>
            </w:r>
            <w:r w:rsidRPr="00CA443A">
              <w:rPr>
                <w:rFonts w:ascii="Times New Roman" w:eastAsia="Times New Roman" w:hAnsi="Times New Roman" w:cs="Times New Roman"/>
                <w:bCs/>
                <w:sz w:val="24"/>
                <w:szCs w:val="24"/>
                <w:lang w:eastAsia="uk-UA"/>
              </w:rPr>
              <w:t>7</w:t>
            </w:r>
          </w:p>
        </w:tc>
        <w:tc>
          <w:tcPr>
            <w:tcW w:w="6237" w:type="dxa"/>
            <w:shd w:val="clear" w:color="auto" w:fill="auto"/>
          </w:tcPr>
          <w:p w14:paraId="709E0838" w14:textId="5C24E94E" w:rsidR="00425DFC" w:rsidRPr="00CA443A" w:rsidRDefault="00425DFC" w:rsidP="00425DFC">
            <w:pPr>
              <w:jc w:val="both"/>
              <w:rPr>
                <w:rFonts w:ascii="Times New Roman" w:hAnsi="Times New Roman" w:cs="Times New Roman"/>
                <w:b/>
                <w:sz w:val="24"/>
                <w:szCs w:val="24"/>
                <w:lang w:eastAsia="uk-UA"/>
              </w:rPr>
            </w:pPr>
            <w:r w:rsidRPr="00CA443A">
              <w:rPr>
                <w:rFonts w:ascii="Times New Roman" w:eastAsia="Times New Roman" w:hAnsi="Times New Roman" w:cs="Times New Roman"/>
                <w:b/>
                <w:sz w:val="24"/>
                <w:szCs w:val="24"/>
                <w:lang w:eastAsia="uk-UA"/>
              </w:rPr>
              <w:t>Роз</w:t>
            </w:r>
            <w:r w:rsidR="00085C60">
              <w:rPr>
                <w:rFonts w:ascii="Times New Roman" w:eastAsia="Times New Roman" w:hAnsi="Times New Roman" w:cs="Times New Roman"/>
                <w:b/>
                <w:sz w:val="24"/>
                <w:szCs w:val="24"/>
                <w:lang w:eastAsia="uk-UA"/>
              </w:rPr>
              <w:t xml:space="preserve">мір експозицій за деривативами </w:t>
            </w:r>
            <w:r w:rsidRPr="00CA443A">
              <w:rPr>
                <w:rFonts w:ascii="Times New Roman" w:hAnsi="Times New Roman" w:cs="Times New Roman"/>
                <w:b/>
                <w:sz w:val="24"/>
                <w:szCs w:val="24"/>
                <w:lang w:eastAsia="uk-UA"/>
              </w:rPr>
              <w:t>на індивідуальній основі</w:t>
            </w:r>
          </w:p>
          <w:p w14:paraId="79AE492C" w14:textId="35C1DC58" w:rsidR="00425DFC" w:rsidRPr="003F0995" w:rsidRDefault="00425DFC" w:rsidP="00425DFC">
            <w:pPr>
              <w:jc w:val="both"/>
              <w:rPr>
                <w:rFonts w:ascii="Times New Roman" w:eastAsia="Times New Roman" w:hAnsi="Times New Roman" w:cs="Times New Roman"/>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w:t>
            </w:r>
            <w:r w:rsidR="004F67A4">
              <w:rPr>
                <w:rFonts w:ascii="Times New Roman" w:hAnsi="Times New Roman" w:cs="Times New Roman"/>
                <w:sz w:val="24"/>
                <w:szCs w:val="24"/>
                <w:lang w:eastAsia="uk-UA"/>
              </w:rPr>
              <w:t>в та позабалансових зобов’язань – </w:t>
            </w:r>
            <w:r w:rsidRPr="00CA443A">
              <w:rPr>
                <w:rFonts w:ascii="Times New Roman" w:hAnsi="Times New Roman" w:cs="Times New Roman"/>
                <w:sz w:val="24"/>
                <w:szCs w:val="24"/>
                <w:lang w:eastAsia="uk-UA"/>
              </w:rPr>
              <w:t>сукупний розм</w:t>
            </w:r>
            <w:r w:rsidR="00063DD4" w:rsidRPr="00CA443A">
              <w:rPr>
                <w:rFonts w:ascii="Times New Roman" w:hAnsi="Times New Roman" w:cs="Times New Roman"/>
                <w:sz w:val="24"/>
                <w:szCs w:val="24"/>
                <w:lang w:eastAsia="uk-UA"/>
              </w:rPr>
              <w:t xml:space="preserve">ір експозицій за </w:t>
            </w:r>
            <w:r w:rsidR="00063DD4" w:rsidRPr="003F0995">
              <w:rPr>
                <w:rFonts w:ascii="Times New Roman" w:hAnsi="Times New Roman" w:cs="Times New Roman"/>
                <w:sz w:val="24"/>
                <w:szCs w:val="24"/>
                <w:lang w:eastAsia="uk-UA"/>
              </w:rPr>
              <w:t xml:space="preserve">деривативами, </w:t>
            </w:r>
            <w:r w:rsidR="001D05CD" w:rsidRPr="003F0995">
              <w:rPr>
                <w:rFonts w:ascii="Times New Roman" w:hAnsi="Times New Roman" w:cs="Times New Roman"/>
                <w:sz w:val="24"/>
                <w:szCs w:val="24"/>
                <w:lang w:eastAsia="uk-UA"/>
              </w:rPr>
              <w:t>розрахованих</w:t>
            </w:r>
            <w:r w:rsidR="00085C60" w:rsidRPr="003F0995">
              <w:rPr>
                <w:rFonts w:ascii="Times New Roman" w:hAnsi="Times New Roman" w:cs="Times New Roman"/>
                <w:sz w:val="24"/>
                <w:szCs w:val="24"/>
                <w:lang w:eastAsia="uk-UA"/>
              </w:rPr>
              <w:t xml:space="preserve"> на індивідуальній основі</w:t>
            </w:r>
            <w:r w:rsidR="00686EEB" w:rsidRPr="003F0995">
              <w:rPr>
                <w:rFonts w:ascii="Times New Roman" w:hAnsi="Times New Roman" w:cs="Times New Roman"/>
                <w:sz w:val="24"/>
                <w:szCs w:val="24"/>
                <w:lang w:eastAsia="uk-UA"/>
              </w:rPr>
              <w:t xml:space="preserve"> </w:t>
            </w:r>
            <w:r w:rsidRPr="003F0995">
              <w:rPr>
                <w:rFonts w:ascii="Times New Roman" w:eastAsia="Times New Roman" w:hAnsi="Times New Roman" w:cs="Times New Roman"/>
                <w:sz w:val="24"/>
                <w:szCs w:val="24"/>
                <w:lang w:eastAsia="uk-UA"/>
              </w:rPr>
              <w:t>згідно з пункт</w:t>
            </w:r>
            <w:r w:rsidR="005924EE" w:rsidRPr="003F0995">
              <w:rPr>
                <w:rFonts w:ascii="Times New Roman" w:eastAsia="Times New Roman" w:hAnsi="Times New Roman" w:cs="Times New Roman"/>
                <w:sz w:val="24"/>
                <w:szCs w:val="24"/>
                <w:lang w:eastAsia="uk-UA"/>
              </w:rPr>
              <w:t>ом</w:t>
            </w:r>
            <w:r w:rsidRPr="003F0995">
              <w:rPr>
                <w:rFonts w:ascii="Times New Roman" w:eastAsia="Times New Roman" w:hAnsi="Times New Roman" w:cs="Times New Roman"/>
                <w:sz w:val="24"/>
                <w:szCs w:val="24"/>
                <w:lang w:eastAsia="uk-UA"/>
              </w:rPr>
              <w:t> </w:t>
            </w:r>
            <w:r w:rsidR="005924EE" w:rsidRPr="003F0995">
              <w:rPr>
                <w:rFonts w:ascii="Times New Roman" w:eastAsia="Times New Roman" w:hAnsi="Times New Roman" w:cs="Times New Roman"/>
                <w:sz w:val="24"/>
                <w:szCs w:val="24"/>
                <w:lang w:eastAsia="uk-UA"/>
              </w:rPr>
              <w:t>21</w:t>
            </w:r>
            <w:r w:rsidRPr="003F0995">
              <w:rPr>
                <w:rFonts w:ascii="Times New Roman" w:eastAsia="Times New Roman" w:hAnsi="Times New Roman" w:cs="Times New Roman"/>
                <w:sz w:val="24"/>
                <w:szCs w:val="24"/>
                <w:lang w:eastAsia="uk-UA"/>
              </w:rPr>
              <w:t xml:space="preserve"> розділу</w:t>
            </w:r>
            <w:r w:rsidR="00BF4903" w:rsidRPr="003F0995">
              <w:rPr>
                <w:rFonts w:ascii="Times New Roman" w:eastAsia="Times New Roman" w:hAnsi="Times New Roman" w:cs="Times New Roman"/>
                <w:sz w:val="24"/>
                <w:szCs w:val="24"/>
                <w:lang w:eastAsia="uk-UA"/>
              </w:rPr>
              <w:t xml:space="preserve"> ІІІ Положення </w:t>
            </w:r>
            <w:r w:rsidR="00063DD4" w:rsidRPr="003F0995">
              <w:rPr>
                <w:rFonts w:ascii="Times New Roman" w:eastAsia="Times New Roman" w:hAnsi="Times New Roman" w:cs="Times New Roman"/>
                <w:sz w:val="24"/>
                <w:szCs w:val="24"/>
                <w:lang w:eastAsia="uk-UA"/>
              </w:rPr>
              <w:t>№ </w:t>
            </w:r>
            <w:r w:rsidR="00295173" w:rsidRPr="003F0995">
              <w:rPr>
                <w:rFonts w:ascii="Times New Roman" w:eastAsia="Times New Roman" w:hAnsi="Times New Roman" w:cs="Times New Roman"/>
                <w:sz w:val="24"/>
                <w:szCs w:val="24"/>
                <w:lang w:eastAsia="uk-UA"/>
              </w:rPr>
              <w:t>89</w:t>
            </w:r>
            <w:r w:rsidR="0031582A" w:rsidRPr="003F0995">
              <w:rPr>
                <w:rFonts w:ascii="Times New Roman" w:eastAsia="Times New Roman" w:hAnsi="Times New Roman" w:cs="Times New Roman"/>
                <w:sz w:val="24"/>
                <w:szCs w:val="24"/>
                <w:lang w:eastAsia="uk-UA"/>
              </w:rPr>
              <w:t>, які</w:t>
            </w:r>
            <w:r w:rsidR="0031582A" w:rsidRPr="003F0995">
              <w:rPr>
                <w:rFonts w:ascii="Times New Roman" w:hAnsi="Times New Roman" w:cs="Times New Roman"/>
                <w:sz w:val="24"/>
                <w:szCs w:val="24"/>
                <w:lang w:eastAsia="uk-UA"/>
              </w:rPr>
              <w:t xml:space="preserve"> включаються до розрахунку сукупного розміру</w:t>
            </w:r>
            <w:r w:rsidR="001E454C" w:rsidRPr="003F0995">
              <w:rPr>
                <w:rFonts w:ascii="Times New Roman" w:hAnsi="Times New Roman" w:cs="Times New Roman"/>
                <w:sz w:val="24"/>
                <w:szCs w:val="24"/>
                <w:lang w:eastAsia="uk-UA"/>
              </w:rPr>
              <w:t xml:space="preserve"> експозицій</w:t>
            </w:r>
            <w:r w:rsidR="005924EE" w:rsidRPr="003F0995">
              <w:rPr>
                <w:rFonts w:ascii="Times New Roman" w:hAnsi="Times New Roman" w:cs="Times New Roman"/>
                <w:sz w:val="24"/>
                <w:szCs w:val="24"/>
                <w:lang w:eastAsia="uk-UA"/>
              </w:rPr>
              <w:t xml:space="preserve"> за деривативами</w:t>
            </w:r>
            <w:r w:rsidR="001E454C" w:rsidRPr="003F0995">
              <w:rPr>
                <w:rFonts w:ascii="Times New Roman" w:hAnsi="Times New Roman" w:cs="Times New Roman"/>
                <w:sz w:val="24"/>
                <w:szCs w:val="24"/>
                <w:lang w:eastAsia="uk-UA"/>
              </w:rPr>
              <w:t xml:space="preserve"> </w:t>
            </w:r>
            <w:r w:rsidR="0031582A" w:rsidRPr="003F0995">
              <w:rPr>
                <w:rFonts w:ascii="Times New Roman" w:hAnsi="Times New Roman" w:cs="Times New Roman"/>
                <w:sz w:val="24"/>
                <w:szCs w:val="24"/>
                <w:lang w:eastAsia="uk-UA"/>
              </w:rPr>
              <w:t>згідно з</w:t>
            </w:r>
            <w:r w:rsidR="005924EE" w:rsidRPr="003F0995">
              <w:rPr>
                <w:rFonts w:ascii="Times New Roman" w:hAnsi="Times New Roman" w:cs="Times New Roman"/>
                <w:sz w:val="24"/>
                <w:szCs w:val="24"/>
                <w:lang w:eastAsia="uk-UA"/>
              </w:rPr>
              <w:t xml:space="preserve"> підпунктом </w:t>
            </w:r>
            <w:r w:rsidR="00D245D5" w:rsidRPr="003F0995">
              <w:rPr>
                <w:rFonts w:ascii="Times New Roman" w:hAnsi="Times New Roman" w:cs="Times New Roman"/>
                <w:sz w:val="24"/>
                <w:szCs w:val="24"/>
                <w:lang w:eastAsia="uk-UA"/>
              </w:rPr>
              <w:t>1 пункту</w:t>
            </w:r>
            <w:r w:rsidR="0031582A" w:rsidRPr="003F0995">
              <w:rPr>
                <w:rFonts w:ascii="Times New Roman" w:hAnsi="Times New Roman" w:cs="Times New Roman"/>
                <w:sz w:val="24"/>
                <w:szCs w:val="24"/>
                <w:lang w:eastAsia="uk-UA"/>
              </w:rPr>
              <w:t xml:space="preserve"> 1</w:t>
            </w:r>
            <w:r w:rsidR="00D245D5" w:rsidRPr="003F0995">
              <w:rPr>
                <w:rFonts w:ascii="Times New Roman" w:hAnsi="Times New Roman" w:cs="Times New Roman"/>
                <w:sz w:val="24"/>
                <w:szCs w:val="24"/>
                <w:lang w:eastAsia="uk-UA"/>
              </w:rPr>
              <w:t>4</w:t>
            </w:r>
            <w:r w:rsidR="0031582A" w:rsidRPr="003F0995">
              <w:rPr>
                <w:rFonts w:ascii="Times New Roman" w:hAnsi="Times New Roman" w:cs="Times New Roman"/>
                <w:sz w:val="24"/>
                <w:szCs w:val="24"/>
                <w:lang w:eastAsia="uk-UA"/>
              </w:rPr>
              <w:t xml:space="preserve"> </w:t>
            </w:r>
            <w:r w:rsidR="00087442" w:rsidRPr="003F0995">
              <w:rPr>
                <w:rFonts w:ascii="Times New Roman" w:eastAsia="Times New Roman" w:hAnsi="Times New Roman" w:cs="Times New Roman"/>
                <w:sz w:val="24"/>
                <w:szCs w:val="24"/>
                <w:lang w:eastAsia="uk-UA"/>
              </w:rPr>
              <w:t>розділу </w:t>
            </w:r>
            <w:r w:rsidR="0031582A" w:rsidRPr="003F0995">
              <w:rPr>
                <w:rFonts w:ascii="Times New Roman" w:eastAsia="Times New Roman" w:hAnsi="Times New Roman" w:cs="Times New Roman"/>
                <w:sz w:val="24"/>
                <w:szCs w:val="24"/>
                <w:lang w:val="en-US" w:eastAsia="uk-UA"/>
              </w:rPr>
              <w:t>II</w:t>
            </w:r>
            <w:r w:rsidR="00D245D5" w:rsidRPr="003F0995">
              <w:rPr>
                <w:rFonts w:ascii="Times New Roman" w:eastAsia="Times New Roman" w:hAnsi="Times New Roman" w:cs="Times New Roman"/>
                <w:sz w:val="24"/>
                <w:szCs w:val="24"/>
                <w:lang w:eastAsia="uk-UA"/>
              </w:rPr>
              <w:t>І</w:t>
            </w:r>
            <w:r w:rsidR="0031582A" w:rsidRPr="003F0995">
              <w:rPr>
                <w:rFonts w:ascii="Times New Roman" w:eastAsia="Times New Roman" w:hAnsi="Times New Roman" w:cs="Times New Roman"/>
                <w:sz w:val="24"/>
                <w:szCs w:val="24"/>
                <w:lang w:eastAsia="uk-UA"/>
              </w:rPr>
              <w:t xml:space="preserve"> Положення № 89</w:t>
            </w:r>
            <w:r w:rsidR="00D245D5" w:rsidRPr="003F0995">
              <w:rPr>
                <w:rFonts w:ascii="Times New Roman" w:eastAsia="Times New Roman" w:hAnsi="Times New Roman" w:cs="Times New Roman"/>
                <w:sz w:val="24"/>
                <w:szCs w:val="24"/>
                <w:lang w:eastAsia="uk-UA"/>
              </w:rPr>
              <w:t>.</w:t>
            </w:r>
          </w:p>
          <w:p w14:paraId="73C017C4" w14:textId="453CD2B9" w:rsidR="00425DFC" w:rsidRPr="00CA443A" w:rsidRDefault="00425DFC" w:rsidP="00CC2C95">
            <w:pPr>
              <w:pStyle w:val="a3"/>
              <w:ind w:left="0"/>
              <w:jc w:val="both"/>
              <w:rPr>
                <w:rFonts w:ascii="Times New Roman" w:hAnsi="Times New Roman" w:cs="Times New Roman"/>
                <w:b/>
                <w:sz w:val="24"/>
                <w:szCs w:val="24"/>
                <w:lang w:eastAsia="uk-UA"/>
              </w:rPr>
            </w:pPr>
            <w:r w:rsidRPr="003F0995">
              <w:rPr>
                <w:rFonts w:ascii="Times New Roman" w:hAnsi="Times New Roman" w:cs="Times New Roman"/>
                <w:sz w:val="24"/>
                <w:szCs w:val="24"/>
                <w:lang w:eastAsia="uk-UA"/>
              </w:rPr>
              <w:t>2.</w:t>
            </w:r>
            <w:r w:rsidR="00C02285" w:rsidRPr="003F0995">
              <w:rPr>
                <w:rFonts w:ascii="Times New Roman" w:eastAsia="Times New Roman" w:hAnsi="Times New Roman" w:cs="Times New Roman"/>
                <w:sz w:val="24"/>
                <w:szCs w:val="24"/>
                <w:lang w:eastAsia="ru-RU"/>
              </w:rPr>
              <w:t xml:space="preserve"> До цього показника не включає</w:t>
            </w:r>
            <w:r w:rsidRPr="003F0995">
              <w:rPr>
                <w:rFonts w:ascii="Times New Roman" w:eastAsia="Times New Roman" w:hAnsi="Times New Roman" w:cs="Times New Roman"/>
                <w:sz w:val="24"/>
                <w:szCs w:val="24"/>
                <w:lang w:eastAsia="ru-RU"/>
              </w:rPr>
              <w:t xml:space="preserve">ться </w:t>
            </w:r>
            <w:r w:rsidR="00B7359E" w:rsidRPr="003F0995">
              <w:rPr>
                <w:rFonts w:ascii="Times New Roman" w:eastAsia="Times New Roman" w:hAnsi="Times New Roman" w:cs="Times New Roman"/>
                <w:sz w:val="24"/>
                <w:szCs w:val="24"/>
                <w:lang w:eastAsia="ru-RU"/>
              </w:rPr>
              <w:t>сума</w:t>
            </w:r>
            <w:r w:rsidRPr="003F0995">
              <w:rPr>
                <w:rFonts w:ascii="Times New Roman" w:eastAsia="Times New Roman" w:hAnsi="Times New Roman" w:cs="Times New Roman"/>
                <w:sz w:val="24"/>
                <w:szCs w:val="24"/>
                <w:lang w:eastAsia="ru-RU"/>
              </w:rPr>
              <w:t xml:space="preserve"> за показниками </w:t>
            </w:r>
            <w:r w:rsidRPr="003F0995">
              <w:rPr>
                <w:rFonts w:ascii="Times New Roman" w:eastAsia="Times New Roman" w:hAnsi="Times New Roman" w:cs="Times New Roman"/>
                <w:bCs/>
                <w:sz w:val="24"/>
                <w:szCs w:val="24"/>
                <w:lang w:eastAsia="uk-UA"/>
              </w:rPr>
              <w:t>A6</w:t>
            </w:r>
            <w:r w:rsidR="00CA443A" w:rsidRPr="003F0995">
              <w:rPr>
                <w:rFonts w:ascii="Times New Roman" w:eastAsia="Times New Roman" w:hAnsi="Times New Roman" w:cs="Times New Roman"/>
                <w:bCs/>
                <w:sz w:val="24"/>
                <w:szCs w:val="24"/>
                <w:lang w:val="en-US" w:eastAsia="uk-UA"/>
              </w:rPr>
              <w:t>J</w:t>
            </w:r>
            <w:r w:rsidR="000C1C16" w:rsidRPr="003F0995">
              <w:rPr>
                <w:rFonts w:ascii="Times New Roman" w:eastAsia="Times New Roman" w:hAnsi="Times New Roman" w:cs="Times New Roman"/>
                <w:bCs/>
                <w:sz w:val="24"/>
                <w:szCs w:val="24"/>
                <w:lang w:eastAsia="uk-UA"/>
              </w:rPr>
              <w:t>009</w:t>
            </w:r>
            <w:r w:rsidRPr="003F0995">
              <w:rPr>
                <w:rFonts w:ascii="Times New Roman" w:eastAsia="Times New Roman" w:hAnsi="Times New Roman" w:cs="Times New Roman"/>
                <w:bCs/>
                <w:sz w:val="24"/>
                <w:szCs w:val="24"/>
                <w:lang w:eastAsia="uk-UA"/>
              </w:rPr>
              <w:t>, A6</w:t>
            </w:r>
            <w:r w:rsidR="00CA443A" w:rsidRPr="003F0995">
              <w:rPr>
                <w:rFonts w:ascii="Times New Roman" w:eastAsia="Times New Roman" w:hAnsi="Times New Roman" w:cs="Times New Roman"/>
                <w:bCs/>
                <w:sz w:val="24"/>
                <w:szCs w:val="24"/>
                <w:lang w:val="en-US" w:eastAsia="uk-UA"/>
              </w:rPr>
              <w:t>J</w:t>
            </w:r>
            <w:r w:rsidR="00197F37" w:rsidRPr="003F0995">
              <w:rPr>
                <w:rFonts w:ascii="Times New Roman" w:eastAsia="Times New Roman" w:hAnsi="Times New Roman" w:cs="Times New Roman"/>
                <w:bCs/>
                <w:sz w:val="24"/>
                <w:szCs w:val="24"/>
                <w:lang w:eastAsia="uk-UA"/>
              </w:rPr>
              <w:t>01</w:t>
            </w:r>
            <w:r w:rsidR="00C830E1" w:rsidRPr="003F0995">
              <w:rPr>
                <w:rFonts w:ascii="Times New Roman" w:eastAsia="Times New Roman" w:hAnsi="Times New Roman" w:cs="Times New Roman"/>
                <w:bCs/>
                <w:sz w:val="24"/>
                <w:szCs w:val="24"/>
                <w:lang w:eastAsia="uk-UA"/>
              </w:rPr>
              <w:t>1</w:t>
            </w:r>
            <w:r w:rsidR="00CC2C95" w:rsidRPr="003F0995">
              <w:rPr>
                <w:rFonts w:ascii="Times New Roman" w:eastAsia="Times New Roman" w:hAnsi="Times New Roman" w:cs="Times New Roman"/>
                <w:bCs/>
                <w:sz w:val="24"/>
                <w:szCs w:val="24"/>
                <w:lang w:eastAsia="uk-UA"/>
              </w:rPr>
              <w:t>.</w:t>
            </w:r>
          </w:p>
        </w:tc>
      </w:tr>
      <w:tr w:rsidR="00CA443A" w:rsidRPr="00CA443A" w14:paraId="56B5A7B8" w14:textId="77777777" w:rsidTr="00920CCC">
        <w:tc>
          <w:tcPr>
            <w:tcW w:w="567" w:type="dxa"/>
            <w:tcBorders>
              <w:top w:val="single" w:sz="4" w:space="0" w:color="auto"/>
            </w:tcBorders>
            <w:shd w:val="clear" w:color="auto" w:fill="auto"/>
          </w:tcPr>
          <w:p w14:paraId="68D0C1B5" w14:textId="41542A94"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8</w:t>
            </w:r>
          </w:p>
        </w:tc>
        <w:tc>
          <w:tcPr>
            <w:tcW w:w="2668" w:type="dxa"/>
            <w:shd w:val="clear" w:color="auto" w:fill="auto"/>
          </w:tcPr>
          <w:p w14:paraId="51EBB4DC" w14:textId="77777777" w:rsidR="00425DFC" w:rsidRPr="00CA443A" w:rsidRDefault="00425DFC"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2BA41AB7" w14:textId="7D01F2F6" w:rsidR="00425DFC" w:rsidRPr="00CA443A" w:rsidRDefault="00DD29B8" w:rsidP="00425DFC">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w:t>
            </w:r>
            <w:r w:rsidR="00425DFC" w:rsidRPr="00CA443A">
              <w:rPr>
                <w:rFonts w:ascii="Times New Roman" w:hAnsi="Times New Roman" w:cs="Times New Roman"/>
                <w:sz w:val="24"/>
                <w:szCs w:val="24"/>
                <w:lang w:eastAsia="uk-UA"/>
              </w:rPr>
              <w:t xml:space="preserve"> за деривативами</w:t>
            </w:r>
          </w:p>
        </w:tc>
        <w:tc>
          <w:tcPr>
            <w:tcW w:w="1019" w:type="dxa"/>
            <w:shd w:val="clear" w:color="auto" w:fill="auto"/>
          </w:tcPr>
          <w:p w14:paraId="51A1AFC7" w14:textId="20794114" w:rsidR="00425DFC" w:rsidRPr="00CA443A" w:rsidRDefault="00425DFC" w:rsidP="00425DFC">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0046759E" w:rsidRPr="00CA443A">
              <w:rPr>
                <w:rFonts w:ascii="Times New Roman" w:eastAsia="Times New Roman" w:hAnsi="Times New Roman" w:cs="Times New Roman"/>
                <w:bCs/>
                <w:sz w:val="24"/>
                <w:szCs w:val="24"/>
                <w:lang w:val="en-US" w:eastAsia="uk-UA"/>
              </w:rPr>
              <w:t>J</w:t>
            </w:r>
            <w:r w:rsidR="00197F37" w:rsidRPr="00CA443A">
              <w:rPr>
                <w:rFonts w:ascii="Times New Roman" w:eastAsia="Times New Roman" w:hAnsi="Times New Roman" w:cs="Times New Roman"/>
                <w:bCs/>
                <w:sz w:val="24"/>
                <w:szCs w:val="24"/>
                <w:lang w:eastAsia="uk-UA"/>
              </w:rPr>
              <w:t>00</w:t>
            </w:r>
            <w:r w:rsidRPr="00CA443A">
              <w:rPr>
                <w:rFonts w:ascii="Times New Roman" w:eastAsia="Times New Roman" w:hAnsi="Times New Roman" w:cs="Times New Roman"/>
                <w:bCs/>
                <w:sz w:val="24"/>
                <w:szCs w:val="24"/>
                <w:lang w:eastAsia="uk-UA"/>
              </w:rPr>
              <w:t>8</w:t>
            </w:r>
          </w:p>
        </w:tc>
        <w:tc>
          <w:tcPr>
            <w:tcW w:w="6237" w:type="dxa"/>
            <w:shd w:val="clear" w:color="auto" w:fill="auto"/>
          </w:tcPr>
          <w:p w14:paraId="758DD825" w14:textId="21D9E050" w:rsidR="00425DFC" w:rsidRPr="000F75D8" w:rsidRDefault="00425DFC" w:rsidP="00425DFC">
            <w:pPr>
              <w:jc w:val="both"/>
              <w:rPr>
                <w:rFonts w:ascii="Times New Roman" w:hAnsi="Times New Roman" w:cs="Times New Roman"/>
                <w:b/>
                <w:sz w:val="24"/>
                <w:szCs w:val="24"/>
                <w:lang w:eastAsia="uk-UA"/>
              </w:rPr>
            </w:pPr>
            <w:r w:rsidRPr="000F75D8">
              <w:rPr>
                <w:rFonts w:ascii="Times New Roman" w:eastAsia="Times New Roman" w:hAnsi="Times New Roman" w:cs="Times New Roman"/>
                <w:b/>
                <w:sz w:val="24"/>
                <w:szCs w:val="24"/>
                <w:lang w:eastAsia="uk-UA"/>
              </w:rPr>
              <w:t>Розмір експозицій за деривативами</w:t>
            </w:r>
            <w:r w:rsidRPr="000F75D8">
              <w:rPr>
                <w:rFonts w:ascii="Times New Roman" w:hAnsi="Times New Roman" w:cs="Times New Roman"/>
                <w:b/>
                <w:sz w:val="24"/>
                <w:szCs w:val="24"/>
                <w:lang w:eastAsia="uk-UA"/>
              </w:rPr>
              <w:t xml:space="preserve"> на груповій основі</w:t>
            </w:r>
          </w:p>
          <w:p w14:paraId="136F04EC" w14:textId="34A1D691" w:rsidR="00017F2D" w:rsidRPr="000F75D8" w:rsidRDefault="00425DFC" w:rsidP="00017F2D">
            <w:pPr>
              <w:jc w:val="both"/>
              <w:rPr>
                <w:rFonts w:ascii="Times New Roman" w:eastAsia="Times New Roman" w:hAnsi="Times New Roman" w:cs="Times New Roman"/>
                <w:sz w:val="24"/>
                <w:szCs w:val="24"/>
                <w:lang w:eastAsia="uk-UA"/>
              </w:rPr>
            </w:pPr>
            <w:r w:rsidRPr="000F75D8">
              <w:rPr>
                <w:rFonts w:ascii="Times New Roman" w:eastAsia="Times New Roman" w:hAnsi="Times New Roman" w:cs="Times New Roman"/>
                <w:sz w:val="24"/>
                <w:szCs w:val="24"/>
                <w:lang w:eastAsia="uk-UA"/>
              </w:rPr>
              <w:t xml:space="preserve">1. Сума за складовою </w:t>
            </w:r>
            <w:r w:rsidRPr="000F75D8">
              <w:rPr>
                <w:rFonts w:ascii="Times New Roman" w:hAnsi="Times New Roman" w:cs="Times New Roman"/>
                <w:sz w:val="24"/>
                <w:szCs w:val="24"/>
                <w:lang w:eastAsia="uk-UA"/>
              </w:rPr>
              <w:t>сукупних активі</w:t>
            </w:r>
            <w:r w:rsidR="004F67A4" w:rsidRPr="000F75D8">
              <w:rPr>
                <w:rFonts w:ascii="Times New Roman" w:hAnsi="Times New Roman" w:cs="Times New Roman"/>
                <w:sz w:val="24"/>
                <w:szCs w:val="24"/>
                <w:lang w:eastAsia="uk-UA"/>
              </w:rPr>
              <w:t>в та позабалансових зобов’язань – </w:t>
            </w:r>
            <w:r w:rsidRPr="000F75D8">
              <w:rPr>
                <w:rFonts w:ascii="Times New Roman" w:hAnsi="Times New Roman" w:cs="Times New Roman"/>
                <w:sz w:val="24"/>
                <w:szCs w:val="24"/>
                <w:lang w:eastAsia="uk-UA"/>
              </w:rPr>
              <w:t>сукупний розмір експозицій за деривативами,  розраховани</w:t>
            </w:r>
            <w:r w:rsidR="001D05CD" w:rsidRPr="000F75D8">
              <w:rPr>
                <w:rFonts w:ascii="Times New Roman" w:hAnsi="Times New Roman" w:cs="Times New Roman"/>
                <w:sz w:val="24"/>
                <w:szCs w:val="24"/>
                <w:lang w:eastAsia="uk-UA"/>
              </w:rPr>
              <w:t>х</w:t>
            </w:r>
            <w:r w:rsidRPr="000F75D8">
              <w:rPr>
                <w:rFonts w:ascii="Times New Roman" w:eastAsia="Times New Roman" w:hAnsi="Times New Roman" w:cs="Times New Roman"/>
                <w:sz w:val="24"/>
                <w:szCs w:val="24"/>
                <w:lang w:eastAsia="uk-UA"/>
              </w:rPr>
              <w:t xml:space="preserve"> </w:t>
            </w:r>
            <w:r w:rsidR="00B05249" w:rsidRPr="000F75D8">
              <w:rPr>
                <w:rFonts w:ascii="Times New Roman" w:eastAsia="Times New Roman" w:hAnsi="Times New Roman" w:cs="Times New Roman"/>
                <w:sz w:val="24"/>
                <w:szCs w:val="24"/>
                <w:lang w:eastAsia="uk-UA"/>
              </w:rPr>
              <w:t xml:space="preserve">на груповій основі </w:t>
            </w:r>
            <w:r w:rsidRPr="000F75D8">
              <w:rPr>
                <w:rFonts w:ascii="Times New Roman" w:eastAsia="Times New Roman" w:hAnsi="Times New Roman" w:cs="Times New Roman"/>
                <w:sz w:val="24"/>
                <w:szCs w:val="24"/>
                <w:lang w:eastAsia="uk-UA"/>
              </w:rPr>
              <w:t>згідно з пункт</w:t>
            </w:r>
            <w:r w:rsidR="00017F2D" w:rsidRPr="000F75D8">
              <w:rPr>
                <w:rFonts w:ascii="Times New Roman" w:eastAsia="Times New Roman" w:hAnsi="Times New Roman" w:cs="Times New Roman"/>
                <w:sz w:val="24"/>
                <w:szCs w:val="24"/>
                <w:lang w:eastAsia="uk-UA"/>
              </w:rPr>
              <w:t>ом</w:t>
            </w:r>
            <w:r w:rsidRPr="000F75D8">
              <w:rPr>
                <w:rFonts w:ascii="Times New Roman" w:eastAsia="Times New Roman" w:hAnsi="Times New Roman" w:cs="Times New Roman"/>
                <w:sz w:val="24"/>
                <w:szCs w:val="24"/>
                <w:lang w:eastAsia="uk-UA"/>
              </w:rPr>
              <w:t xml:space="preserve"> </w:t>
            </w:r>
            <w:r w:rsidR="00017F2D" w:rsidRPr="000F75D8">
              <w:rPr>
                <w:rFonts w:ascii="Times New Roman" w:eastAsia="Times New Roman" w:hAnsi="Times New Roman" w:cs="Times New Roman"/>
                <w:sz w:val="24"/>
                <w:szCs w:val="24"/>
                <w:lang w:eastAsia="uk-UA"/>
              </w:rPr>
              <w:t>22</w:t>
            </w:r>
            <w:r w:rsidRPr="000F75D8">
              <w:rPr>
                <w:rFonts w:ascii="Times New Roman" w:eastAsia="Times New Roman" w:hAnsi="Times New Roman" w:cs="Times New Roman"/>
                <w:sz w:val="24"/>
                <w:szCs w:val="24"/>
                <w:lang w:eastAsia="uk-UA"/>
              </w:rPr>
              <w:t xml:space="preserve"> розділу</w:t>
            </w:r>
            <w:r w:rsidR="00063DD4" w:rsidRPr="000F75D8">
              <w:rPr>
                <w:rFonts w:ascii="Times New Roman" w:eastAsia="Times New Roman" w:hAnsi="Times New Roman" w:cs="Times New Roman"/>
                <w:sz w:val="24"/>
                <w:szCs w:val="24"/>
                <w:lang w:eastAsia="uk-UA"/>
              </w:rPr>
              <w:t xml:space="preserve"> ІІІ Положення № </w:t>
            </w:r>
            <w:r w:rsidRPr="000F75D8">
              <w:rPr>
                <w:rFonts w:ascii="Times New Roman" w:eastAsia="Times New Roman" w:hAnsi="Times New Roman" w:cs="Times New Roman"/>
                <w:sz w:val="24"/>
                <w:szCs w:val="24"/>
                <w:lang w:eastAsia="uk-UA"/>
              </w:rPr>
              <w:t>89</w:t>
            </w:r>
            <w:r w:rsidR="00017F2D" w:rsidRPr="000F75D8">
              <w:rPr>
                <w:rFonts w:ascii="Times New Roman" w:eastAsia="Times New Roman" w:hAnsi="Times New Roman" w:cs="Times New Roman"/>
                <w:sz w:val="24"/>
                <w:szCs w:val="24"/>
                <w:lang w:eastAsia="uk-UA"/>
              </w:rPr>
              <w:t>, які</w:t>
            </w:r>
            <w:r w:rsidR="00017F2D" w:rsidRPr="000F75D8">
              <w:rPr>
                <w:rFonts w:ascii="Times New Roman" w:hAnsi="Times New Roman" w:cs="Times New Roman"/>
                <w:sz w:val="24"/>
                <w:szCs w:val="24"/>
                <w:lang w:eastAsia="uk-UA"/>
              </w:rPr>
              <w:t xml:space="preserve"> включаються до розрахунку сукупного розміру експозицій за деривативами згідно з підпунктом 2 пункту 14 </w:t>
            </w:r>
            <w:r w:rsidR="00017F2D" w:rsidRPr="000F75D8">
              <w:rPr>
                <w:rFonts w:ascii="Times New Roman" w:eastAsia="Times New Roman" w:hAnsi="Times New Roman" w:cs="Times New Roman"/>
                <w:sz w:val="24"/>
                <w:szCs w:val="24"/>
                <w:lang w:eastAsia="uk-UA"/>
              </w:rPr>
              <w:t xml:space="preserve">розділу </w:t>
            </w:r>
            <w:r w:rsidR="00017F2D" w:rsidRPr="000F75D8">
              <w:rPr>
                <w:rFonts w:ascii="Times New Roman" w:eastAsia="Times New Roman" w:hAnsi="Times New Roman" w:cs="Times New Roman"/>
                <w:sz w:val="24"/>
                <w:szCs w:val="24"/>
                <w:lang w:val="en-US" w:eastAsia="uk-UA"/>
              </w:rPr>
              <w:t>II</w:t>
            </w:r>
            <w:r w:rsidR="00017F2D" w:rsidRPr="000F75D8">
              <w:rPr>
                <w:rFonts w:ascii="Times New Roman" w:eastAsia="Times New Roman" w:hAnsi="Times New Roman" w:cs="Times New Roman"/>
                <w:sz w:val="24"/>
                <w:szCs w:val="24"/>
                <w:lang w:eastAsia="uk-UA"/>
              </w:rPr>
              <w:t>І Положення № 89.</w:t>
            </w:r>
          </w:p>
          <w:p w14:paraId="42E14234" w14:textId="72D5CB18" w:rsidR="00425DFC" w:rsidRPr="000F75D8" w:rsidRDefault="00425DFC" w:rsidP="003424E5">
            <w:pPr>
              <w:jc w:val="both"/>
              <w:rPr>
                <w:rFonts w:ascii="Times New Roman" w:hAnsi="Times New Roman" w:cs="Times New Roman"/>
                <w:b/>
                <w:sz w:val="24"/>
                <w:szCs w:val="24"/>
                <w:lang w:eastAsia="uk-UA"/>
              </w:rPr>
            </w:pPr>
            <w:r w:rsidRPr="000F75D8">
              <w:rPr>
                <w:rFonts w:ascii="Times New Roman" w:hAnsi="Times New Roman" w:cs="Times New Roman"/>
                <w:sz w:val="24"/>
                <w:szCs w:val="24"/>
                <w:lang w:eastAsia="uk-UA"/>
              </w:rPr>
              <w:t>2.</w:t>
            </w:r>
            <w:r w:rsidR="00C02285" w:rsidRPr="000F75D8">
              <w:rPr>
                <w:rFonts w:ascii="Times New Roman" w:eastAsia="Times New Roman" w:hAnsi="Times New Roman" w:cs="Times New Roman"/>
                <w:sz w:val="24"/>
                <w:szCs w:val="24"/>
                <w:lang w:eastAsia="ru-RU"/>
              </w:rPr>
              <w:t xml:space="preserve"> До цього показника не включає</w:t>
            </w:r>
            <w:r w:rsidRPr="000F75D8">
              <w:rPr>
                <w:rFonts w:ascii="Times New Roman" w:eastAsia="Times New Roman" w:hAnsi="Times New Roman" w:cs="Times New Roman"/>
                <w:sz w:val="24"/>
                <w:szCs w:val="24"/>
                <w:lang w:eastAsia="ru-RU"/>
              </w:rPr>
              <w:t xml:space="preserve">ться </w:t>
            </w:r>
            <w:r w:rsidR="00C02285" w:rsidRPr="000F75D8">
              <w:rPr>
                <w:rFonts w:ascii="Times New Roman" w:eastAsia="Times New Roman" w:hAnsi="Times New Roman" w:cs="Times New Roman"/>
                <w:sz w:val="24"/>
                <w:szCs w:val="24"/>
                <w:lang w:eastAsia="ru-RU"/>
              </w:rPr>
              <w:t>сума</w:t>
            </w:r>
            <w:r w:rsidR="00CC2C95" w:rsidRPr="000F75D8">
              <w:rPr>
                <w:rFonts w:ascii="Times New Roman" w:eastAsia="Times New Roman" w:hAnsi="Times New Roman" w:cs="Times New Roman"/>
                <w:sz w:val="24"/>
                <w:szCs w:val="24"/>
                <w:lang w:eastAsia="ru-RU"/>
              </w:rPr>
              <w:t xml:space="preserve"> за показником</w:t>
            </w:r>
            <w:r w:rsidRPr="000F75D8">
              <w:rPr>
                <w:rFonts w:ascii="Times New Roman" w:eastAsia="Times New Roman" w:hAnsi="Times New Roman" w:cs="Times New Roman"/>
                <w:sz w:val="24"/>
                <w:szCs w:val="24"/>
                <w:lang w:eastAsia="ru-RU"/>
              </w:rPr>
              <w:t xml:space="preserve"> </w:t>
            </w:r>
            <w:r w:rsidRPr="000F75D8">
              <w:rPr>
                <w:rFonts w:ascii="Times New Roman" w:eastAsia="Times New Roman" w:hAnsi="Times New Roman" w:cs="Times New Roman"/>
                <w:bCs/>
                <w:sz w:val="24"/>
                <w:szCs w:val="24"/>
                <w:lang w:eastAsia="uk-UA"/>
              </w:rPr>
              <w:t>A6</w:t>
            </w:r>
            <w:r w:rsidR="00CA443A" w:rsidRPr="000F75D8">
              <w:rPr>
                <w:rFonts w:ascii="Times New Roman" w:eastAsia="Times New Roman" w:hAnsi="Times New Roman" w:cs="Times New Roman"/>
                <w:bCs/>
                <w:sz w:val="24"/>
                <w:szCs w:val="24"/>
                <w:lang w:val="en-US" w:eastAsia="uk-UA"/>
              </w:rPr>
              <w:t>J</w:t>
            </w:r>
            <w:r w:rsidR="00197F37" w:rsidRPr="000F75D8">
              <w:rPr>
                <w:rFonts w:ascii="Times New Roman" w:eastAsia="Times New Roman" w:hAnsi="Times New Roman" w:cs="Times New Roman"/>
                <w:bCs/>
                <w:sz w:val="24"/>
                <w:szCs w:val="24"/>
                <w:lang w:eastAsia="uk-UA"/>
              </w:rPr>
              <w:t>01</w:t>
            </w:r>
            <w:r w:rsidR="000C1C16" w:rsidRPr="000F75D8">
              <w:rPr>
                <w:rFonts w:ascii="Times New Roman" w:eastAsia="Times New Roman" w:hAnsi="Times New Roman" w:cs="Times New Roman"/>
                <w:bCs/>
                <w:sz w:val="24"/>
                <w:szCs w:val="24"/>
                <w:lang w:eastAsia="uk-UA"/>
              </w:rPr>
              <w:t>0</w:t>
            </w:r>
            <w:r w:rsidR="00CC2C95" w:rsidRPr="000F75D8">
              <w:rPr>
                <w:rFonts w:ascii="Times New Roman" w:eastAsia="Times New Roman" w:hAnsi="Times New Roman" w:cs="Times New Roman"/>
                <w:bCs/>
                <w:sz w:val="24"/>
                <w:szCs w:val="24"/>
                <w:lang w:eastAsia="uk-UA"/>
              </w:rPr>
              <w:t>.</w:t>
            </w:r>
          </w:p>
        </w:tc>
      </w:tr>
      <w:tr w:rsidR="00C830E1" w:rsidRPr="006A6C3E" w14:paraId="11BEB3E6" w14:textId="77777777" w:rsidTr="00920CCC">
        <w:tc>
          <w:tcPr>
            <w:tcW w:w="567" w:type="dxa"/>
            <w:tcBorders>
              <w:top w:val="single" w:sz="4" w:space="0" w:color="auto"/>
            </w:tcBorders>
            <w:shd w:val="clear" w:color="auto" w:fill="auto"/>
          </w:tcPr>
          <w:p w14:paraId="23ABC5D7" w14:textId="61303DE1"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9</w:t>
            </w:r>
          </w:p>
        </w:tc>
        <w:tc>
          <w:tcPr>
            <w:tcW w:w="2668" w:type="dxa"/>
            <w:shd w:val="clear" w:color="auto" w:fill="auto"/>
          </w:tcPr>
          <w:p w14:paraId="58B23246"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0FD182F4" w14:textId="473F8098"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 за деривативами</w:t>
            </w:r>
          </w:p>
        </w:tc>
        <w:tc>
          <w:tcPr>
            <w:tcW w:w="1019" w:type="dxa"/>
            <w:shd w:val="clear" w:color="auto" w:fill="auto"/>
          </w:tcPr>
          <w:p w14:paraId="739986CE" w14:textId="33D453EE" w:rsidR="00C830E1" w:rsidRPr="006A6C3E"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Pr>
                <w:rFonts w:ascii="Times New Roman" w:eastAsia="Times New Roman" w:hAnsi="Times New Roman" w:cs="Times New Roman"/>
                <w:bCs/>
                <w:sz w:val="24"/>
                <w:szCs w:val="24"/>
                <w:lang w:eastAsia="uk-UA"/>
              </w:rPr>
              <w:t>009</w:t>
            </w:r>
          </w:p>
        </w:tc>
        <w:tc>
          <w:tcPr>
            <w:tcW w:w="6237" w:type="dxa"/>
            <w:shd w:val="clear" w:color="auto" w:fill="auto"/>
          </w:tcPr>
          <w:p w14:paraId="14224409" w14:textId="77777777" w:rsidR="00C830E1" w:rsidRPr="000F75D8" w:rsidRDefault="00C830E1" w:rsidP="00C830E1">
            <w:pPr>
              <w:jc w:val="both"/>
              <w:rPr>
                <w:rFonts w:ascii="Times New Roman" w:hAnsi="Times New Roman" w:cs="Times New Roman"/>
                <w:b/>
                <w:sz w:val="24"/>
                <w:szCs w:val="24"/>
                <w:lang w:eastAsia="uk-UA"/>
              </w:rPr>
            </w:pPr>
            <w:r w:rsidRPr="000F75D8">
              <w:rPr>
                <w:rFonts w:ascii="Times New Roman" w:hAnsi="Times New Roman" w:cs="Times New Roman"/>
                <w:b/>
                <w:sz w:val="24"/>
                <w:szCs w:val="24"/>
                <w:lang w:eastAsia="uk-UA"/>
              </w:rPr>
              <w:t>Розмір експозицій за позабіржовими деривативами на індивідуальній основі</w:t>
            </w:r>
          </w:p>
          <w:p w14:paraId="63D58791" w14:textId="5E016117" w:rsidR="00C830E1" w:rsidRPr="0067480A" w:rsidRDefault="00C830E1" w:rsidP="003008AF">
            <w:pPr>
              <w:jc w:val="both"/>
              <w:rPr>
                <w:rFonts w:ascii="Times New Roman" w:hAnsi="Times New Roman" w:cs="Times New Roman"/>
                <w:b/>
                <w:sz w:val="24"/>
                <w:szCs w:val="24"/>
                <w:lang w:eastAsia="uk-UA"/>
              </w:rPr>
            </w:pPr>
            <w:r w:rsidRPr="000F75D8">
              <w:rPr>
                <w:rFonts w:ascii="Times New Roman" w:eastAsia="Times New Roman" w:hAnsi="Times New Roman" w:cs="Times New Roman"/>
                <w:sz w:val="24"/>
                <w:szCs w:val="24"/>
                <w:lang w:eastAsia="uk-UA"/>
              </w:rPr>
              <w:t xml:space="preserve">1. Сума за складовою </w:t>
            </w:r>
            <w:r w:rsidRPr="000F75D8">
              <w:rPr>
                <w:rFonts w:ascii="Times New Roman" w:hAnsi="Times New Roman" w:cs="Times New Roman"/>
                <w:sz w:val="24"/>
                <w:szCs w:val="24"/>
                <w:lang w:eastAsia="uk-UA"/>
              </w:rPr>
              <w:t xml:space="preserve">сукупних активів та позабалансових зобов’язань – сукупний розмір експозицій за позабіржовими деривативами, розрахованих на </w:t>
            </w:r>
            <w:r w:rsidRPr="0067480A">
              <w:rPr>
                <w:rFonts w:ascii="Times New Roman" w:hAnsi="Times New Roman" w:cs="Times New Roman"/>
                <w:sz w:val="24"/>
                <w:szCs w:val="24"/>
                <w:lang w:eastAsia="uk-UA"/>
              </w:rPr>
              <w:t>індивідуальній основі</w:t>
            </w:r>
            <w:r w:rsidRPr="0067480A">
              <w:rPr>
                <w:rFonts w:ascii="Times New Roman" w:eastAsia="Times New Roman" w:hAnsi="Times New Roman" w:cs="Times New Roman"/>
                <w:sz w:val="24"/>
                <w:szCs w:val="24"/>
                <w:lang w:eastAsia="uk-UA"/>
              </w:rPr>
              <w:t xml:space="preserve"> </w:t>
            </w:r>
            <w:r w:rsidR="003008AF" w:rsidRPr="000F75D8">
              <w:rPr>
                <w:rFonts w:ascii="Times New Roman" w:eastAsia="Times New Roman" w:hAnsi="Times New Roman" w:cs="Times New Roman"/>
                <w:sz w:val="24"/>
                <w:szCs w:val="24"/>
                <w:lang w:eastAsia="uk-UA"/>
              </w:rPr>
              <w:t>згідно з  пунктом 32 розділу </w:t>
            </w:r>
            <w:r w:rsidR="003008AF" w:rsidRPr="000F75D8">
              <w:rPr>
                <w:rFonts w:ascii="Times New Roman" w:eastAsia="Times New Roman" w:hAnsi="Times New Roman" w:cs="Times New Roman"/>
                <w:sz w:val="24"/>
                <w:szCs w:val="24"/>
                <w:lang w:val="en-US" w:eastAsia="uk-UA"/>
              </w:rPr>
              <w:t>I</w:t>
            </w:r>
            <w:r w:rsidR="003008AF" w:rsidRPr="0067480A">
              <w:rPr>
                <w:rFonts w:ascii="Times New Roman" w:eastAsia="Times New Roman" w:hAnsi="Times New Roman" w:cs="Times New Roman"/>
                <w:sz w:val="24"/>
                <w:szCs w:val="24"/>
                <w:lang w:eastAsia="uk-UA"/>
              </w:rPr>
              <w:t>ІІ Положення № 89, які</w:t>
            </w:r>
            <w:r w:rsidR="003008AF" w:rsidRPr="0067480A">
              <w:rPr>
                <w:rFonts w:ascii="Times New Roman" w:hAnsi="Times New Roman" w:cs="Times New Roman"/>
                <w:sz w:val="24"/>
                <w:szCs w:val="24"/>
                <w:lang w:eastAsia="uk-UA"/>
              </w:rPr>
              <w:t xml:space="preserve"> включаються до розрахунку сукупного розміру експозицій за деривативами згідно з підпунктом 1 пункту 14 </w:t>
            </w:r>
            <w:r w:rsidR="003008AF" w:rsidRPr="0067480A">
              <w:rPr>
                <w:rFonts w:ascii="Times New Roman" w:eastAsia="Times New Roman" w:hAnsi="Times New Roman" w:cs="Times New Roman"/>
                <w:sz w:val="24"/>
                <w:szCs w:val="24"/>
                <w:lang w:eastAsia="uk-UA"/>
              </w:rPr>
              <w:t>розділу </w:t>
            </w:r>
            <w:r w:rsidR="003008AF" w:rsidRPr="0067480A">
              <w:rPr>
                <w:rFonts w:ascii="Times New Roman" w:eastAsia="Times New Roman" w:hAnsi="Times New Roman" w:cs="Times New Roman"/>
                <w:sz w:val="24"/>
                <w:szCs w:val="24"/>
                <w:lang w:val="en-US" w:eastAsia="uk-UA"/>
              </w:rPr>
              <w:t>II</w:t>
            </w:r>
            <w:r w:rsidR="003008AF" w:rsidRPr="0067480A">
              <w:rPr>
                <w:rFonts w:ascii="Times New Roman" w:eastAsia="Times New Roman" w:hAnsi="Times New Roman" w:cs="Times New Roman"/>
                <w:sz w:val="24"/>
                <w:szCs w:val="24"/>
                <w:lang w:eastAsia="uk-UA"/>
              </w:rPr>
              <w:t>І Положення № 89</w:t>
            </w:r>
            <w:r w:rsidR="007F2B62" w:rsidRPr="0067480A">
              <w:rPr>
                <w:rFonts w:ascii="Times New Roman" w:eastAsia="Times New Roman" w:hAnsi="Times New Roman" w:cs="Times New Roman"/>
                <w:sz w:val="24"/>
                <w:szCs w:val="24"/>
                <w:lang w:eastAsia="uk-UA"/>
              </w:rPr>
              <w:t>.</w:t>
            </w:r>
          </w:p>
        </w:tc>
      </w:tr>
      <w:tr w:rsidR="00C830E1" w:rsidRPr="006A6C3E" w14:paraId="7398DD6C" w14:textId="77777777" w:rsidTr="00920CCC">
        <w:tc>
          <w:tcPr>
            <w:tcW w:w="567" w:type="dxa"/>
            <w:tcBorders>
              <w:top w:val="single" w:sz="4" w:space="0" w:color="auto"/>
            </w:tcBorders>
            <w:shd w:val="clear" w:color="auto" w:fill="auto"/>
          </w:tcPr>
          <w:p w14:paraId="20847DAA" w14:textId="44AA71E0"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lastRenderedPageBreak/>
              <w:t>1</w:t>
            </w:r>
            <w:r>
              <w:rPr>
                <w:rFonts w:ascii="Times New Roman" w:hAnsi="Times New Roman" w:cs="Times New Roman"/>
                <w:sz w:val="24"/>
                <w:szCs w:val="24"/>
                <w:lang w:eastAsia="uk-UA"/>
              </w:rPr>
              <w:t>0</w:t>
            </w:r>
          </w:p>
        </w:tc>
        <w:tc>
          <w:tcPr>
            <w:tcW w:w="2668" w:type="dxa"/>
            <w:shd w:val="clear" w:color="auto" w:fill="auto"/>
          </w:tcPr>
          <w:p w14:paraId="4C62F3BA"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15D59D21" w14:textId="0B2D0210" w:rsidR="00C830E1" w:rsidRPr="006A6C3E"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експозицій за деривативами</w:t>
            </w:r>
          </w:p>
        </w:tc>
        <w:tc>
          <w:tcPr>
            <w:tcW w:w="1019" w:type="dxa"/>
            <w:shd w:val="clear" w:color="auto" w:fill="auto"/>
          </w:tcPr>
          <w:p w14:paraId="3EF9C192" w14:textId="2B69F6DC" w:rsidR="00C830E1" w:rsidRPr="006A6C3E"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w:t>
            </w:r>
            <w:r>
              <w:rPr>
                <w:rFonts w:ascii="Times New Roman" w:eastAsia="Times New Roman" w:hAnsi="Times New Roman" w:cs="Times New Roman"/>
                <w:bCs/>
                <w:sz w:val="24"/>
                <w:szCs w:val="24"/>
                <w:lang w:eastAsia="uk-UA"/>
              </w:rPr>
              <w:t>0</w:t>
            </w:r>
          </w:p>
        </w:tc>
        <w:tc>
          <w:tcPr>
            <w:tcW w:w="6237" w:type="dxa"/>
            <w:shd w:val="clear" w:color="auto" w:fill="auto"/>
          </w:tcPr>
          <w:p w14:paraId="2ADB7DE9" w14:textId="77777777" w:rsidR="00C830E1" w:rsidRPr="00CA443A" w:rsidRDefault="00C830E1" w:rsidP="00C830E1">
            <w:pPr>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 xml:space="preserve">Розмір експозицій </w:t>
            </w:r>
            <w:r>
              <w:rPr>
                <w:rFonts w:ascii="Times New Roman" w:hAnsi="Times New Roman" w:cs="Times New Roman"/>
                <w:b/>
                <w:sz w:val="24"/>
                <w:szCs w:val="24"/>
                <w:lang w:eastAsia="uk-UA"/>
              </w:rPr>
              <w:t>за позабіржовими деривативами</w:t>
            </w:r>
            <w:r w:rsidRPr="00CA443A">
              <w:rPr>
                <w:rFonts w:ascii="Times New Roman" w:hAnsi="Times New Roman" w:cs="Times New Roman"/>
                <w:b/>
                <w:sz w:val="24"/>
                <w:szCs w:val="24"/>
                <w:lang w:eastAsia="uk-UA"/>
              </w:rPr>
              <w:t xml:space="preserve"> на груповій основі</w:t>
            </w:r>
          </w:p>
          <w:p w14:paraId="0E83DBED" w14:textId="7A598C1D" w:rsidR="00C830E1" w:rsidRPr="006A6C3E" w:rsidRDefault="00C830E1" w:rsidP="00BA6A0E">
            <w:pPr>
              <w:jc w:val="both"/>
              <w:rPr>
                <w:rFonts w:ascii="Times New Roman" w:hAnsi="Times New Roman" w:cs="Times New Roman"/>
                <w:b/>
                <w:sz w:val="24"/>
                <w:szCs w:val="24"/>
                <w:lang w:eastAsia="uk-UA"/>
              </w:rPr>
            </w:pPr>
            <w:r w:rsidRPr="00CA443A">
              <w:rPr>
                <w:rFonts w:ascii="Times New Roman" w:eastAsia="Times New Roman" w:hAnsi="Times New Roman" w:cs="Times New Roman"/>
                <w:sz w:val="24"/>
                <w:szCs w:val="24"/>
                <w:lang w:eastAsia="uk-UA"/>
              </w:rPr>
              <w:t xml:space="preserve">1. Сума за складовою </w:t>
            </w:r>
            <w:r w:rsidRPr="00CA443A">
              <w:rPr>
                <w:rFonts w:ascii="Times New Roman" w:hAnsi="Times New Roman" w:cs="Times New Roman"/>
                <w:sz w:val="24"/>
                <w:szCs w:val="24"/>
                <w:lang w:eastAsia="uk-UA"/>
              </w:rPr>
              <w:t>сукупних активів та позабалансових зобов’язань</w:t>
            </w:r>
            <w:r>
              <w:rPr>
                <w:rFonts w:ascii="Times New Roman" w:hAnsi="Times New Roman" w:cs="Times New Roman"/>
                <w:sz w:val="24"/>
                <w:szCs w:val="24"/>
                <w:lang w:eastAsia="uk-UA"/>
              </w:rPr>
              <w:t> – </w:t>
            </w:r>
            <w:r w:rsidRPr="00CA443A">
              <w:rPr>
                <w:rFonts w:ascii="Times New Roman" w:hAnsi="Times New Roman" w:cs="Times New Roman"/>
                <w:sz w:val="24"/>
                <w:szCs w:val="24"/>
                <w:lang w:eastAsia="uk-UA"/>
              </w:rPr>
              <w:t>сукупний розмір експозицій за позабіржовими деривативами, розрахованих</w:t>
            </w:r>
            <w:r>
              <w:rPr>
                <w:rFonts w:ascii="Times New Roman" w:hAnsi="Times New Roman" w:cs="Times New Roman"/>
                <w:sz w:val="24"/>
                <w:szCs w:val="24"/>
                <w:lang w:eastAsia="uk-UA"/>
              </w:rPr>
              <w:t xml:space="preserve"> </w:t>
            </w:r>
            <w:r w:rsidRPr="0067480A">
              <w:rPr>
                <w:rFonts w:ascii="Times New Roman" w:hAnsi="Times New Roman" w:cs="Times New Roman"/>
                <w:sz w:val="24"/>
                <w:szCs w:val="24"/>
                <w:lang w:eastAsia="uk-UA"/>
              </w:rPr>
              <w:t>на груповій основі</w:t>
            </w:r>
            <w:r w:rsidR="00E53235" w:rsidRPr="0067480A">
              <w:rPr>
                <w:rFonts w:ascii="Times New Roman" w:eastAsia="Times New Roman" w:hAnsi="Times New Roman" w:cs="Times New Roman"/>
                <w:sz w:val="24"/>
                <w:szCs w:val="24"/>
                <w:lang w:eastAsia="uk-UA"/>
              </w:rPr>
              <w:t xml:space="preserve"> </w:t>
            </w:r>
            <w:r w:rsidR="00BA6A0E" w:rsidRPr="0067480A">
              <w:rPr>
                <w:rFonts w:ascii="Times New Roman" w:eastAsia="Times New Roman" w:hAnsi="Times New Roman" w:cs="Times New Roman"/>
                <w:sz w:val="24"/>
                <w:szCs w:val="24"/>
                <w:lang w:eastAsia="uk-UA"/>
              </w:rPr>
              <w:t xml:space="preserve"> </w:t>
            </w:r>
            <w:r w:rsidRPr="0067480A">
              <w:rPr>
                <w:rFonts w:ascii="Times New Roman" w:eastAsia="Times New Roman" w:hAnsi="Times New Roman" w:cs="Times New Roman"/>
                <w:sz w:val="24"/>
                <w:szCs w:val="24"/>
                <w:lang w:eastAsia="uk-UA"/>
              </w:rPr>
              <w:t>згідно з пунктом 33 розділу </w:t>
            </w:r>
            <w:r w:rsidRPr="00CA443A">
              <w:rPr>
                <w:rFonts w:ascii="Times New Roman" w:eastAsia="Times New Roman" w:hAnsi="Times New Roman" w:cs="Times New Roman"/>
                <w:sz w:val="24"/>
                <w:szCs w:val="24"/>
                <w:lang w:val="en-US" w:eastAsia="uk-UA"/>
              </w:rPr>
              <w:t>I</w:t>
            </w:r>
            <w:r w:rsidRPr="00CA443A">
              <w:rPr>
                <w:rFonts w:ascii="Times New Roman" w:eastAsia="Times New Roman" w:hAnsi="Times New Roman" w:cs="Times New Roman"/>
                <w:sz w:val="24"/>
                <w:szCs w:val="24"/>
                <w:lang w:eastAsia="uk-UA"/>
              </w:rPr>
              <w:t>ІІ Положення № 89</w:t>
            </w:r>
            <w:r w:rsidR="00535F85">
              <w:rPr>
                <w:rFonts w:ascii="Times New Roman" w:eastAsia="Times New Roman" w:hAnsi="Times New Roman" w:cs="Times New Roman"/>
                <w:sz w:val="24"/>
                <w:szCs w:val="24"/>
                <w:lang w:eastAsia="uk-UA"/>
              </w:rPr>
              <w:t>, які</w:t>
            </w:r>
            <w:r w:rsidR="00535F85" w:rsidRPr="00AC3AE4">
              <w:rPr>
                <w:rFonts w:ascii="Times New Roman" w:hAnsi="Times New Roman" w:cs="Times New Roman"/>
                <w:sz w:val="24"/>
                <w:szCs w:val="24"/>
                <w:lang w:eastAsia="uk-UA"/>
              </w:rPr>
              <w:t xml:space="preserve"> </w:t>
            </w:r>
            <w:r w:rsidR="00535F85">
              <w:rPr>
                <w:rFonts w:ascii="Times New Roman" w:hAnsi="Times New Roman" w:cs="Times New Roman"/>
                <w:sz w:val="24"/>
                <w:szCs w:val="24"/>
                <w:lang w:eastAsia="uk-UA"/>
              </w:rPr>
              <w:t>включаю</w:t>
            </w:r>
            <w:r w:rsidR="00535F85" w:rsidRPr="0059112B">
              <w:rPr>
                <w:rFonts w:ascii="Times New Roman" w:hAnsi="Times New Roman" w:cs="Times New Roman"/>
                <w:sz w:val="24"/>
                <w:szCs w:val="24"/>
                <w:lang w:eastAsia="uk-UA"/>
              </w:rPr>
              <w:t>ться до</w:t>
            </w:r>
            <w:r w:rsidR="00535F85">
              <w:rPr>
                <w:rFonts w:ascii="Times New Roman" w:hAnsi="Times New Roman" w:cs="Times New Roman"/>
                <w:sz w:val="24"/>
                <w:szCs w:val="24"/>
                <w:lang w:eastAsia="uk-UA"/>
              </w:rPr>
              <w:t xml:space="preserve"> </w:t>
            </w:r>
            <w:r w:rsidR="00535F85" w:rsidRPr="006A6C3E">
              <w:rPr>
                <w:rFonts w:ascii="Times New Roman" w:hAnsi="Times New Roman" w:cs="Times New Roman"/>
                <w:sz w:val="24"/>
                <w:szCs w:val="24"/>
                <w:lang w:eastAsia="uk-UA"/>
              </w:rPr>
              <w:t xml:space="preserve">розрахунку </w:t>
            </w:r>
            <w:r w:rsidR="00535F85">
              <w:rPr>
                <w:rFonts w:ascii="Times New Roman" w:hAnsi="Times New Roman" w:cs="Times New Roman"/>
                <w:sz w:val="24"/>
                <w:szCs w:val="24"/>
                <w:lang w:eastAsia="uk-UA"/>
              </w:rPr>
              <w:t>сукупного</w:t>
            </w:r>
            <w:r w:rsidR="00535F85" w:rsidRPr="006A6C3E">
              <w:rPr>
                <w:rFonts w:ascii="Times New Roman" w:hAnsi="Times New Roman" w:cs="Times New Roman"/>
                <w:sz w:val="24"/>
                <w:szCs w:val="24"/>
                <w:lang w:eastAsia="uk-UA"/>
              </w:rPr>
              <w:t xml:space="preserve"> розмір</w:t>
            </w:r>
            <w:r w:rsidR="00535F85">
              <w:rPr>
                <w:rFonts w:ascii="Times New Roman" w:hAnsi="Times New Roman" w:cs="Times New Roman"/>
                <w:sz w:val="24"/>
                <w:szCs w:val="24"/>
                <w:lang w:eastAsia="uk-UA"/>
              </w:rPr>
              <w:t xml:space="preserve">у експозицій за деривативами </w:t>
            </w:r>
            <w:r w:rsidR="00535F85" w:rsidRPr="00AC3AE4">
              <w:rPr>
                <w:rFonts w:ascii="Times New Roman" w:hAnsi="Times New Roman" w:cs="Times New Roman"/>
                <w:sz w:val="24"/>
                <w:szCs w:val="24"/>
                <w:lang w:eastAsia="uk-UA"/>
              </w:rPr>
              <w:t>згідно з</w:t>
            </w:r>
            <w:r w:rsidR="00535F85">
              <w:rPr>
                <w:rFonts w:ascii="Times New Roman" w:hAnsi="Times New Roman" w:cs="Times New Roman"/>
                <w:sz w:val="24"/>
                <w:szCs w:val="24"/>
                <w:lang w:eastAsia="uk-UA"/>
              </w:rPr>
              <w:t xml:space="preserve"> підпунктом 2 пункту</w:t>
            </w:r>
            <w:r w:rsidR="00535F85" w:rsidRPr="00AC3AE4">
              <w:rPr>
                <w:rFonts w:ascii="Times New Roman" w:hAnsi="Times New Roman" w:cs="Times New Roman"/>
                <w:sz w:val="24"/>
                <w:szCs w:val="24"/>
                <w:lang w:eastAsia="uk-UA"/>
              </w:rPr>
              <w:t xml:space="preserve"> 1</w:t>
            </w:r>
            <w:r w:rsidR="00535F85">
              <w:rPr>
                <w:rFonts w:ascii="Times New Roman" w:hAnsi="Times New Roman" w:cs="Times New Roman"/>
                <w:sz w:val="24"/>
                <w:szCs w:val="24"/>
                <w:lang w:eastAsia="uk-UA"/>
              </w:rPr>
              <w:t>4</w:t>
            </w:r>
            <w:r w:rsidR="00535F85" w:rsidRPr="00AC3AE4">
              <w:rPr>
                <w:rFonts w:ascii="Times New Roman" w:hAnsi="Times New Roman" w:cs="Times New Roman"/>
                <w:sz w:val="24"/>
                <w:szCs w:val="24"/>
                <w:lang w:eastAsia="uk-UA"/>
              </w:rPr>
              <w:t xml:space="preserve"> </w:t>
            </w:r>
            <w:r w:rsidR="00535F85">
              <w:rPr>
                <w:rFonts w:ascii="Times New Roman" w:eastAsia="Times New Roman" w:hAnsi="Times New Roman" w:cs="Times New Roman"/>
                <w:sz w:val="24"/>
                <w:szCs w:val="24"/>
                <w:lang w:eastAsia="uk-UA"/>
              </w:rPr>
              <w:t>розділу </w:t>
            </w:r>
            <w:r w:rsidR="00535F85" w:rsidRPr="00AC3AE4">
              <w:rPr>
                <w:rFonts w:ascii="Times New Roman" w:eastAsia="Times New Roman" w:hAnsi="Times New Roman" w:cs="Times New Roman"/>
                <w:sz w:val="24"/>
                <w:szCs w:val="24"/>
                <w:lang w:val="en-US" w:eastAsia="uk-UA"/>
              </w:rPr>
              <w:t>II</w:t>
            </w:r>
            <w:r w:rsidR="00535F85">
              <w:rPr>
                <w:rFonts w:ascii="Times New Roman" w:eastAsia="Times New Roman" w:hAnsi="Times New Roman" w:cs="Times New Roman"/>
                <w:sz w:val="24"/>
                <w:szCs w:val="24"/>
                <w:lang w:eastAsia="uk-UA"/>
              </w:rPr>
              <w:t>І</w:t>
            </w:r>
            <w:r w:rsidR="00535F85" w:rsidRPr="00AC3AE4">
              <w:rPr>
                <w:rFonts w:ascii="Times New Roman" w:eastAsia="Times New Roman" w:hAnsi="Times New Roman" w:cs="Times New Roman"/>
                <w:sz w:val="24"/>
                <w:szCs w:val="24"/>
                <w:lang w:eastAsia="uk-UA"/>
              </w:rPr>
              <w:t xml:space="preserve"> Положення № 89</w:t>
            </w:r>
            <w:r w:rsidR="00033084">
              <w:rPr>
                <w:rFonts w:ascii="Times New Roman" w:eastAsia="Times New Roman" w:hAnsi="Times New Roman" w:cs="Times New Roman"/>
                <w:sz w:val="24"/>
                <w:szCs w:val="24"/>
                <w:lang w:eastAsia="uk-UA"/>
              </w:rPr>
              <w:t>.</w:t>
            </w:r>
          </w:p>
        </w:tc>
      </w:tr>
      <w:tr w:rsidR="00C830E1" w:rsidRPr="006A6C3E" w14:paraId="0A32A373" w14:textId="77777777" w:rsidTr="00920CCC">
        <w:tc>
          <w:tcPr>
            <w:tcW w:w="567" w:type="dxa"/>
            <w:tcBorders>
              <w:top w:val="single" w:sz="4" w:space="0" w:color="auto"/>
            </w:tcBorders>
            <w:shd w:val="clear" w:color="auto" w:fill="auto"/>
          </w:tcPr>
          <w:p w14:paraId="5AD27E4E" w14:textId="71CD4634"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11</w:t>
            </w:r>
          </w:p>
        </w:tc>
        <w:tc>
          <w:tcPr>
            <w:tcW w:w="2668" w:type="dxa"/>
            <w:shd w:val="clear" w:color="auto" w:fill="auto"/>
          </w:tcPr>
          <w:p w14:paraId="2C8A27D3" w14:textId="77777777" w:rsidR="00C830E1" w:rsidRPr="006A6C3E" w:rsidRDefault="00C830E1" w:rsidP="00C830E1">
            <w:pPr>
              <w:jc w:val="center"/>
              <w:rPr>
                <w:rFonts w:ascii="Times New Roman" w:hAnsi="Times New Roman" w:cs="Times New Roman"/>
                <w:sz w:val="24"/>
                <w:szCs w:val="24"/>
                <w:lang w:eastAsia="uk-UA"/>
              </w:rPr>
            </w:pPr>
            <w:r w:rsidRPr="006A6C3E">
              <w:rPr>
                <w:rFonts w:ascii="Times New Roman" w:hAnsi="Times New Roman" w:cs="Times New Roman"/>
                <w:sz w:val="24"/>
                <w:szCs w:val="24"/>
                <w:lang w:eastAsia="uk-UA"/>
              </w:rPr>
              <w:t xml:space="preserve">Складова сукупних активів та позабалансових зобов’язань. </w:t>
            </w:r>
          </w:p>
          <w:p w14:paraId="584449E1" w14:textId="1843923B" w:rsidR="00C830E1" w:rsidRPr="006A6C3E"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Сукупний розмір експозицій</w:t>
            </w:r>
            <w:r w:rsidRPr="006A6C3E">
              <w:rPr>
                <w:rFonts w:ascii="Times New Roman" w:hAnsi="Times New Roman" w:cs="Times New Roman"/>
                <w:sz w:val="24"/>
                <w:szCs w:val="24"/>
                <w:lang w:eastAsia="uk-UA"/>
              </w:rPr>
              <w:t xml:space="preserve"> за деривативами</w:t>
            </w:r>
          </w:p>
        </w:tc>
        <w:tc>
          <w:tcPr>
            <w:tcW w:w="1019" w:type="dxa"/>
            <w:shd w:val="clear" w:color="auto" w:fill="auto"/>
          </w:tcPr>
          <w:p w14:paraId="4ED32AE2" w14:textId="6ECDB4FE" w:rsidR="00C830E1" w:rsidRPr="006A6C3E" w:rsidRDefault="00C830E1" w:rsidP="00C830E1">
            <w:pPr>
              <w:jc w:val="center"/>
              <w:rPr>
                <w:rFonts w:ascii="Times New Roman" w:eastAsia="Times New Roman" w:hAnsi="Times New Roman" w:cs="Times New Roman"/>
                <w:bCs/>
                <w:sz w:val="24"/>
                <w:szCs w:val="24"/>
                <w:lang w:eastAsia="uk-UA"/>
              </w:rPr>
            </w:pPr>
            <w:r w:rsidRPr="006A6C3E">
              <w:rPr>
                <w:rFonts w:ascii="Times New Roman" w:eastAsia="Times New Roman" w:hAnsi="Times New Roman" w:cs="Times New Roman"/>
                <w:bCs/>
                <w:sz w:val="24"/>
                <w:szCs w:val="24"/>
                <w:lang w:eastAsia="uk-UA"/>
              </w:rPr>
              <w:t>A6</w:t>
            </w:r>
            <w:r>
              <w:rPr>
                <w:rFonts w:ascii="Times New Roman" w:eastAsia="Times New Roman" w:hAnsi="Times New Roman" w:cs="Times New Roman"/>
                <w:bCs/>
                <w:sz w:val="24"/>
                <w:szCs w:val="24"/>
                <w:lang w:val="en-US" w:eastAsia="uk-UA"/>
              </w:rPr>
              <w:t>J</w:t>
            </w:r>
            <w:r>
              <w:rPr>
                <w:rFonts w:ascii="Times New Roman" w:eastAsia="Times New Roman" w:hAnsi="Times New Roman" w:cs="Times New Roman"/>
                <w:bCs/>
                <w:sz w:val="24"/>
                <w:szCs w:val="24"/>
                <w:lang w:eastAsia="uk-UA"/>
              </w:rPr>
              <w:t>011</w:t>
            </w:r>
          </w:p>
        </w:tc>
        <w:tc>
          <w:tcPr>
            <w:tcW w:w="6237" w:type="dxa"/>
            <w:shd w:val="clear" w:color="auto" w:fill="auto"/>
          </w:tcPr>
          <w:p w14:paraId="58C0BC71" w14:textId="77777777" w:rsidR="00C830E1" w:rsidRPr="006A6C3E" w:rsidRDefault="00C830E1" w:rsidP="00C830E1">
            <w:pPr>
              <w:jc w:val="both"/>
              <w:rPr>
                <w:rFonts w:ascii="Times New Roman" w:hAnsi="Times New Roman" w:cs="Times New Roman"/>
                <w:b/>
                <w:sz w:val="24"/>
                <w:szCs w:val="24"/>
                <w:lang w:eastAsia="uk-UA"/>
              </w:rPr>
            </w:pPr>
            <w:r w:rsidRPr="006A6C3E">
              <w:rPr>
                <w:rFonts w:ascii="Times New Roman" w:hAnsi="Times New Roman" w:cs="Times New Roman"/>
                <w:b/>
                <w:sz w:val="24"/>
                <w:szCs w:val="24"/>
                <w:lang w:eastAsia="uk-UA"/>
              </w:rPr>
              <w:t>Розмір експозицій за деривативами, яким властивий специфічний ризик втрати напрямку</w:t>
            </w:r>
          </w:p>
          <w:p w14:paraId="1620FA65" w14:textId="58613184" w:rsidR="00C830E1" w:rsidRPr="006A6C3E" w:rsidRDefault="00C830E1" w:rsidP="003424E5">
            <w:pPr>
              <w:jc w:val="both"/>
              <w:rPr>
                <w:rFonts w:ascii="Times New Roman" w:hAnsi="Times New Roman" w:cs="Times New Roman"/>
                <w:b/>
                <w:color w:val="FF0000"/>
                <w:sz w:val="24"/>
                <w:szCs w:val="24"/>
                <w:lang w:eastAsia="uk-UA"/>
              </w:rPr>
            </w:pPr>
            <w:r w:rsidRPr="006A6C3E">
              <w:rPr>
                <w:rFonts w:ascii="Times New Roman" w:eastAsia="Times New Roman" w:hAnsi="Times New Roman" w:cs="Times New Roman"/>
                <w:sz w:val="24"/>
                <w:szCs w:val="24"/>
                <w:lang w:eastAsia="uk-UA"/>
              </w:rPr>
              <w:t xml:space="preserve">1. Сума за складовою </w:t>
            </w:r>
            <w:r w:rsidRPr="006A6C3E">
              <w:rPr>
                <w:rFonts w:ascii="Times New Roman" w:hAnsi="Times New Roman" w:cs="Times New Roman"/>
                <w:sz w:val="24"/>
                <w:szCs w:val="24"/>
                <w:lang w:eastAsia="uk-UA"/>
              </w:rPr>
              <w:t xml:space="preserve">сукупних активів та позабалансових </w:t>
            </w:r>
            <w:r>
              <w:rPr>
                <w:rFonts w:ascii="Times New Roman" w:hAnsi="Times New Roman" w:cs="Times New Roman"/>
                <w:sz w:val="24"/>
                <w:szCs w:val="24"/>
                <w:lang w:eastAsia="uk-UA"/>
              </w:rPr>
              <w:t>зобов’язань – </w:t>
            </w:r>
            <w:r w:rsidRPr="006A6C3E">
              <w:rPr>
                <w:rFonts w:ascii="Times New Roman" w:hAnsi="Times New Roman" w:cs="Times New Roman"/>
                <w:sz w:val="24"/>
                <w:szCs w:val="24"/>
                <w:lang w:eastAsia="uk-UA"/>
              </w:rPr>
              <w:t>сукупний розмір експозицій за деривативами, яким властивий специфічний ризик втрати напрямку, розрахованих</w:t>
            </w:r>
            <w:r w:rsidR="005B0A6E">
              <w:rPr>
                <w:rFonts w:ascii="Times New Roman" w:hAnsi="Times New Roman" w:cs="Times New Roman"/>
                <w:sz w:val="24"/>
                <w:szCs w:val="24"/>
                <w:lang w:eastAsia="uk-UA"/>
              </w:rPr>
              <w:t xml:space="preserve"> </w:t>
            </w:r>
            <w:r w:rsidR="005B0A6E" w:rsidRPr="00AC3AE4">
              <w:rPr>
                <w:rFonts w:ascii="Times New Roman" w:hAnsi="Times New Roman" w:cs="Times New Roman"/>
                <w:sz w:val="24"/>
                <w:szCs w:val="24"/>
                <w:lang w:eastAsia="uk-UA"/>
              </w:rPr>
              <w:t>згідно</w:t>
            </w:r>
            <w:r w:rsidR="005B0A6E">
              <w:rPr>
                <w:rFonts w:ascii="Times New Roman" w:hAnsi="Times New Roman" w:cs="Times New Roman"/>
                <w:sz w:val="24"/>
                <w:szCs w:val="24"/>
                <w:lang w:eastAsia="uk-UA"/>
              </w:rPr>
              <w:t xml:space="preserve"> </w:t>
            </w:r>
            <w:r w:rsidRPr="006A6C3E">
              <w:rPr>
                <w:rFonts w:ascii="Times New Roman" w:eastAsia="Times New Roman" w:hAnsi="Times New Roman" w:cs="Times New Roman"/>
                <w:sz w:val="24"/>
                <w:szCs w:val="24"/>
                <w:lang w:eastAsia="uk-UA"/>
              </w:rPr>
              <w:t xml:space="preserve">з пунктом 34 розділу </w:t>
            </w:r>
            <w:r w:rsidRPr="006A6C3E">
              <w:rPr>
                <w:rFonts w:ascii="Times New Roman" w:eastAsia="Times New Roman" w:hAnsi="Times New Roman" w:cs="Times New Roman"/>
                <w:sz w:val="24"/>
                <w:szCs w:val="24"/>
                <w:lang w:val="en-US" w:eastAsia="uk-UA"/>
              </w:rPr>
              <w:t>I</w:t>
            </w:r>
            <w:r w:rsidRPr="003424E5">
              <w:rPr>
                <w:rFonts w:ascii="Times New Roman" w:eastAsia="Times New Roman" w:hAnsi="Times New Roman" w:cs="Times New Roman"/>
                <w:sz w:val="24"/>
                <w:szCs w:val="24"/>
                <w:lang w:eastAsia="uk-UA"/>
              </w:rPr>
              <w:t>ІІ</w:t>
            </w:r>
            <w:r w:rsidRPr="006A6C3E">
              <w:rPr>
                <w:rFonts w:ascii="Times New Roman" w:eastAsia="Times New Roman" w:hAnsi="Times New Roman" w:cs="Times New Roman"/>
                <w:sz w:val="24"/>
                <w:szCs w:val="24"/>
                <w:lang w:eastAsia="uk-UA"/>
              </w:rPr>
              <w:t xml:space="preserve"> Положення № 89</w:t>
            </w:r>
            <w:r w:rsidR="00535F85">
              <w:rPr>
                <w:rFonts w:ascii="Times New Roman" w:eastAsia="Times New Roman" w:hAnsi="Times New Roman" w:cs="Times New Roman"/>
                <w:sz w:val="24"/>
                <w:szCs w:val="24"/>
                <w:lang w:eastAsia="uk-UA"/>
              </w:rPr>
              <w:t>, які</w:t>
            </w:r>
            <w:r w:rsidR="00535F85" w:rsidRPr="00AC3AE4">
              <w:rPr>
                <w:rFonts w:ascii="Times New Roman" w:hAnsi="Times New Roman" w:cs="Times New Roman"/>
                <w:sz w:val="24"/>
                <w:szCs w:val="24"/>
                <w:lang w:eastAsia="uk-UA"/>
              </w:rPr>
              <w:t xml:space="preserve"> </w:t>
            </w:r>
            <w:r w:rsidR="00535F85">
              <w:rPr>
                <w:rFonts w:ascii="Times New Roman" w:hAnsi="Times New Roman" w:cs="Times New Roman"/>
                <w:sz w:val="24"/>
                <w:szCs w:val="24"/>
                <w:lang w:eastAsia="uk-UA"/>
              </w:rPr>
              <w:t>включаю</w:t>
            </w:r>
            <w:r w:rsidR="00535F85" w:rsidRPr="0059112B">
              <w:rPr>
                <w:rFonts w:ascii="Times New Roman" w:hAnsi="Times New Roman" w:cs="Times New Roman"/>
                <w:sz w:val="24"/>
                <w:szCs w:val="24"/>
                <w:lang w:eastAsia="uk-UA"/>
              </w:rPr>
              <w:t>ться до</w:t>
            </w:r>
            <w:r w:rsidR="00535F85">
              <w:rPr>
                <w:rFonts w:ascii="Times New Roman" w:hAnsi="Times New Roman" w:cs="Times New Roman"/>
                <w:sz w:val="24"/>
                <w:szCs w:val="24"/>
                <w:lang w:eastAsia="uk-UA"/>
              </w:rPr>
              <w:t xml:space="preserve"> </w:t>
            </w:r>
            <w:r w:rsidR="00535F85" w:rsidRPr="006A6C3E">
              <w:rPr>
                <w:rFonts w:ascii="Times New Roman" w:hAnsi="Times New Roman" w:cs="Times New Roman"/>
                <w:sz w:val="24"/>
                <w:szCs w:val="24"/>
                <w:lang w:eastAsia="uk-UA"/>
              </w:rPr>
              <w:t xml:space="preserve">розрахунку </w:t>
            </w:r>
            <w:r w:rsidR="00535F85">
              <w:rPr>
                <w:rFonts w:ascii="Times New Roman" w:hAnsi="Times New Roman" w:cs="Times New Roman"/>
                <w:sz w:val="24"/>
                <w:szCs w:val="24"/>
                <w:lang w:eastAsia="uk-UA"/>
              </w:rPr>
              <w:t>сукупного</w:t>
            </w:r>
            <w:r w:rsidR="00535F85" w:rsidRPr="006A6C3E">
              <w:rPr>
                <w:rFonts w:ascii="Times New Roman" w:hAnsi="Times New Roman" w:cs="Times New Roman"/>
                <w:sz w:val="24"/>
                <w:szCs w:val="24"/>
                <w:lang w:eastAsia="uk-UA"/>
              </w:rPr>
              <w:t xml:space="preserve"> розмір</w:t>
            </w:r>
            <w:r w:rsidR="00535F85">
              <w:rPr>
                <w:rFonts w:ascii="Times New Roman" w:hAnsi="Times New Roman" w:cs="Times New Roman"/>
                <w:sz w:val="24"/>
                <w:szCs w:val="24"/>
                <w:lang w:eastAsia="uk-UA"/>
              </w:rPr>
              <w:t xml:space="preserve">у експозицій за деривативами </w:t>
            </w:r>
            <w:r w:rsidR="00535F85" w:rsidRPr="00AC3AE4">
              <w:rPr>
                <w:rFonts w:ascii="Times New Roman" w:hAnsi="Times New Roman" w:cs="Times New Roman"/>
                <w:sz w:val="24"/>
                <w:szCs w:val="24"/>
                <w:lang w:eastAsia="uk-UA"/>
              </w:rPr>
              <w:t>згідно з</w:t>
            </w:r>
            <w:r w:rsidR="00535F85">
              <w:rPr>
                <w:rFonts w:ascii="Times New Roman" w:hAnsi="Times New Roman" w:cs="Times New Roman"/>
                <w:sz w:val="24"/>
                <w:szCs w:val="24"/>
                <w:lang w:eastAsia="uk-UA"/>
              </w:rPr>
              <w:t xml:space="preserve"> підпунктом 1 пункту</w:t>
            </w:r>
            <w:r w:rsidR="00535F85" w:rsidRPr="00AC3AE4">
              <w:rPr>
                <w:rFonts w:ascii="Times New Roman" w:hAnsi="Times New Roman" w:cs="Times New Roman"/>
                <w:sz w:val="24"/>
                <w:szCs w:val="24"/>
                <w:lang w:eastAsia="uk-UA"/>
              </w:rPr>
              <w:t xml:space="preserve"> 1</w:t>
            </w:r>
            <w:r w:rsidR="00535F85">
              <w:rPr>
                <w:rFonts w:ascii="Times New Roman" w:hAnsi="Times New Roman" w:cs="Times New Roman"/>
                <w:sz w:val="24"/>
                <w:szCs w:val="24"/>
                <w:lang w:eastAsia="uk-UA"/>
              </w:rPr>
              <w:t>4</w:t>
            </w:r>
            <w:r w:rsidR="00535F85" w:rsidRPr="00AC3AE4">
              <w:rPr>
                <w:rFonts w:ascii="Times New Roman" w:hAnsi="Times New Roman" w:cs="Times New Roman"/>
                <w:sz w:val="24"/>
                <w:szCs w:val="24"/>
                <w:lang w:eastAsia="uk-UA"/>
              </w:rPr>
              <w:t xml:space="preserve"> </w:t>
            </w:r>
            <w:r w:rsidR="00535F85">
              <w:rPr>
                <w:rFonts w:ascii="Times New Roman" w:eastAsia="Times New Roman" w:hAnsi="Times New Roman" w:cs="Times New Roman"/>
                <w:sz w:val="24"/>
                <w:szCs w:val="24"/>
                <w:lang w:eastAsia="uk-UA"/>
              </w:rPr>
              <w:t>розділу </w:t>
            </w:r>
            <w:r w:rsidR="00535F85" w:rsidRPr="00AC3AE4">
              <w:rPr>
                <w:rFonts w:ascii="Times New Roman" w:eastAsia="Times New Roman" w:hAnsi="Times New Roman" w:cs="Times New Roman"/>
                <w:sz w:val="24"/>
                <w:szCs w:val="24"/>
                <w:lang w:val="en-US" w:eastAsia="uk-UA"/>
              </w:rPr>
              <w:t>II</w:t>
            </w:r>
            <w:r w:rsidR="00535F85">
              <w:rPr>
                <w:rFonts w:ascii="Times New Roman" w:eastAsia="Times New Roman" w:hAnsi="Times New Roman" w:cs="Times New Roman"/>
                <w:sz w:val="24"/>
                <w:szCs w:val="24"/>
                <w:lang w:eastAsia="uk-UA"/>
              </w:rPr>
              <w:t>І</w:t>
            </w:r>
            <w:r w:rsidR="00535F85" w:rsidRPr="00AC3AE4">
              <w:rPr>
                <w:rFonts w:ascii="Times New Roman" w:eastAsia="Times New Roman" w:hAnsi="Times New Roman" w:cs="Times New Roman"/>
                <w:sz w:val="24"/>
                <w:szCs w:val="24"/>
                <w:lang w:eastAsia="uk-UA"/>
              </w:rPr>
              <w:t xml:space="preserve"> Положення № 89</w:t>
            </w:r>
            <w:r w:rsidR="00033084">
              <w:rPr>
                <w:rFonts w:ascii="Times New Roman" w:eastAsia="Times New Roman" w:hAnsi="Times New Roman" w:cs="Times New Roman"/>
                <w:sz w:val="24"/>
                <w:szCs w:val="24"/>
                <w:lang w:eastAsia="uk-UA"/>
              </w:rPr>
              <w:t>.</w:t>
            </w:r>
          </w:p>
        </w:tc>
      </w:tr>
      <w:tr w:rsidR="00C830E1" w:rsidRPr="00CA443A" w14:paraId="322FCED8" w14:textId="77777777" w:rsidTr="00920CCC">
        <w:tc>
          <w:tcPr>
            <w:tcW w:w="567" w:type="dxa"/>
            <w:tcBorders>
              <w:top w:val="single" w:sz="4" w:space="0" w:color="auto"/>
            </w:tcBorders>
            <w:shd w:val="clear" w:color="auto" w:fill="auto"/>
          </w:tcPr>
          <w:p w14:paraId="32C47F01" w14:textId="3D3BA196"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12</w:t>
            </w:r>
          </w:p>
        </w:tc>
        <w:tc>
          <w:tcPr>
            <w:tcW w:w="2668" w:type="dxa"/>
            <w:shd w:val="clear" w:color="auto" w:fill="auto"/>
          </w:tcPr>
          <w:p w14:paraId="37491E7C" w14:textId="484526D6" w:rsidR="00C830E1" w:rsidRPr="00CA443A"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19" w:type="dxa"/>
            <w:shd w:val="clear" w:color="auto" w:fill="auto"/>
          </w:tcPr>
          <w:p w14:paraId="0B233BB7" w14:textId="54EA46EB"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012</w:t>
            </w:r>
          </w:p>
        </w:tc>
        <w:tc>
          <w:tcPr>
            <w:tcW w:w="6237" w:type="dxa"/>
            <w:shd w:val="clear" w:color="auto" w:fill="auto"/>
          </w:tcPr>
          <w:p w14:paraId="6BBC21D3" w14:textId="3C86C462" w:rsidR="00C830E1" w:rsidRPr="00454C82" w:rsidRDefault="00C830E1" w:rsidP="00C830E1">
            <w:pPr>
              <w:jc w:val="both"/>
              <w:rPr>
                <w:rFonts w:ascii="Times New Roman" w:hAnsi="Times New Roman" w:cs="Times New Roman"/>
                <w:b/>
                <w:sz w:val="24"/>
                <w:szCs w:val="24"/>
                <w:lang w:eastAsia="uk-UA"/>
              </w:rPr>
            </w:pPr>
            <w:r w:rsidRPr="00454C82">
              <w:rPr>
                <w:rFonts w:ascii="Times New Roman" w:hAnsi="Times New Roman" w:cs="Times New Roman"/>
                <w:b/>
                <w:sz w:val="24"/>
                <w:szCs w:val="24"/>
                <w:lang w:eastAsia="uk-UA"/>
              </w:rPr>
              <w:t>Розмір експозицій за деривативами банку</w:t>
            </w:r>
            <w:r w:rsidR="005F3A8E">
              <w:rPr>
                <w:rFonts w:ascii="Times New Roman" w:hAnsi="Times New Roman" w:cs="Times New Roman"/>
                <w:b/>
                <w:sz w:val="24"/>
                <w:szCs w:val="24"/>
                <w:lang w:eastAsia="uk-UA"/>
              </w:rPr>
              <w:t xml:space="preserve"> </w:t>
            </w:r>
            <w:r w:rsidR="005F3A8E" w:rsidRPr="005F3A8E">
              <w:t>−</w:t>
            </w:r>
            <w:r w:rsidR="005F3A8E">
              <w:t xml:space="preserve"> </w:t>
            </w:r>
            <w:r w:rsidRPr="00454C82">
              <w:rPr>
                <w:rFonts w:ascii="Times New Roman" w:hAnsi="Times New Roman" w:cs="Times New Roman"/>
                <w:b/>
                <w:sz w:val="24"/>
                <w:szCs w:val="24"/>
                <w:lang w:eastAsia="uk-UA"/>
              </w:rPr>
              <w:t xml:space="preserve">учасника клірингу з центральним контрагентом на користь клієнта на індивідуальній основі </w:t>
            </w:r>
          </w:p>
          <w:p w14:paraId="61B68597" w14:textId="3150CF50" w:rsidR="00C830E1" w:rsidRPr="001B17DE" w:rsidRDefault="00C830E1" w:rsidP="00C830E1">
            <w:pPr>
              <w:pStyle w:val="a3"/>
              <w:ind w:left="0"/>
              <w:jc w:val="both"/>
              <w:rPr>
                <w:rFonts w:ascii="Times New Roman" w:eastAsia="Times New Roman" w:hAnsi="Times New Roman" w:cs="Times New Roman"/>
                <w:sz w:val="24"/>
                <w:szCs w:val="24"/>
                <w:lang w:eastAsia="uk-UA"/>
              </w:rPr>
            </w:pPr>
            <w:r w:rsidRPr="00454C82">
              <w:rPr>
                <w:rFonts w:ascii="Times New Roman" w:eastAsia="Times New Roman" w:hAnsi="Times New Roman" w:cs="Times New Roman"/>
                <w:sz w:val="24"/>
                <w:szCs w:val="24"/>
                <w:lang w:eastAsia="uk-UA"/>
              </w:rPr>
              <w:t>1.Сукупний</w:t>
            </w:r>
            <w:r w:rsidRPr="00454C82">
              <w:rPr>
                <w:rFonts w:ascii="Times New Roman" w:hAnsi="Times New Roman" w:cs="Times New Roman"/>
                <w:sz w:val="24"/>
                <w:szCs w:val="24"/>
                <w:lang w:eastAsia="uk-UA"/>
              </w:rPr>
              <w:t xml:space="preserve"> розмір експозицій за деривативами банку-учасника</w:t>
            </w:r>
            <w:r w:rsidRPr="00454C82">
              <w:rPr>
                <w:rFonts w:ascii="Times New Roman" w:hAnsi="Times New Roman" w:cs="Times New Roman"/>
                <w:b/>
                <w:sz w:val="24"/>
                <w:szCs w:val="24"/>
                <w:lang w:eastAsia="uk-UA"/>
              </w:rPr>
              <w:t xml:space="preserve"> </w:t>
            </w:r>
            <w:r w:rsidRPr="00454C82">
              <w:rPr>
                <w:rFonts w:ascii="Times New Roman" w:hAnsi="Times New Roman" w:cs="Times New Roman"/>
                <w:sz w:val="24"/>
                <w:szCs w:val="24"/>
                <w:lang w:eastAsia="uk-UA"/>
              </w:rPr>
              <w:t>клірингу з центральним контрагентом на користь клієнта, розрахованих на індивідуальній основі</w:t>
            </w:r>
            <w:r w:rsidRPr="00454C82">
              <w:rPr>
                <w:rFonts w:ascii="Times New Roman" w:eastAsia="Times New Roman" w:hAnsi="Times New Roman" w:cs="Times New Roman"/>
                <w:sz w:val="24"/>
                <w:szCs w:val="24"/>
                <w:lang w:eastAsia="uk-UA"/>
              </w:rPr>
              <w:t xml:space="preserve"> згідно підпунктом 1 пункту 14 розділу ІІІ Положення № 89 із застосуванням коефіцієнта 0,21 відповідно до пункту 27 розділу ІІІ Положення № 89.</w:t>
            </w:r>
          </w:p>
        </w:tc>
      </w:tr>
      <w:tr w:rsidR="00C830E1" w:rsidRPr="00CA443A" w14:paraId="1363D3C4" w14:textId="77777777" w:rsidTr="00920CCC">
        <w:tc>
          <w:tcPr>
            <w:tcW w:w="567" w:type="dxa"/>
            <w:tcBorders>
              <w:top w:val="single" w:sz="4" w:space="0" w:color="auto"/>
            </w:tcBorders>
            <w:shd w:val="clear" w:color="auto" w:fill="auto"/>
          </w:tcPr>
          <w:p w14:paraId="74CBE243" w14:textId="5D12C51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13</w:t>
            </w:r>
          </w:p>
        </w:tc>
        <w:tc>
          <w:tcPr>
            <w:tcW w:w="2668" w:type="dxa"/>
            <w:shd w:val="clear" w:color="auto" w:fill="auto"/>
          </w:tcPr>
          <w:p w14:paraId="4CB4188E" w14:textId="5450852E" w:rsidR="00C830E1" w:rsidRPr="00CA443A" w:rsidRDefault="00C830E1" w:rsidP="00C830E1">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w:t>
            </w:r>
          </w:p>
        </w:tc>
        <w:tc>
          <w:tcPr>
            <w:tcW w:w="1019" w:type="dxa"/>
            <w:shd w:val="clear" w:color="auto" w:fill="auto"/>
          </w:tcPr>
          <w:p w14:paraId="341ECEF0" w14:textId="7928F25D"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013</w:t>
            </w:r>
          </w:p>
        </w:tc>
        <w:tc>
          <w:tcPr>
            <w:tcW w:w="6237" w:type="dxa"/>
            <w:shd w:val="clear" w:color="auto" w:fill="auto"/>
          </w:tcPr>
          <w:p w14:paraId="755C7B48" w14:textId="7C92D33C" w:rsidR="00C830E1" w:rsidRPr="00454C82" w:rsidRDefault="00C830E1" w:rsidP="00C830E1">
            <w:pPr>
              <w:jc w:val="both"/>
              <w:rPr>
                <w:rFonts w:ascii="Times New Roman" w:hAnsi="Times New Roman" w:cs="Times New Roman"/>
                <w:b/>
                <w:sz w:val="24"/>
                <w:szCs w:val="24"/>
                <w:lang w:eastAsia="uk-UA"/>
              </w:rPr>
            </w:pPr>
            <w:r w:rsidRPr="00454C82">
              <w:rPr>
                <w:rFonts w:ascii="Times New Roman" w:hAnsi="Times New Roman" w:cs="Times New Roman"/>
                <w:b/>
                <w:sz w:val="24"/>
                <w:szCs w:val="24"/>
                <w:lang w:eastAsia="uk-UA"/>
              </w:rPr>
              <w:t>Розмір експозицій за деривативами банку</w:t>
            </w:r>
            <w:r w:rsidR="005F3A8E">
              <w:rPr>
                <w:rFonts w:ascii="Times New Roman" w:hAnsi="Times New Roman" w:cs="Times New Roman"/>
                <w:b/>
                <w:sz w:val="24"/>
                <w:szCs w:val="24"/>
                <w:lang w:eastAsia="uk-UA"/>
              </w:rPr>
              <w:t xml:space="preserve"> </w:t>
            </w:r>
            <w:r w:rsidR="005F3A8E" w:rsidRPr="005F3A8E">
              <w:t>−</w:t>
            </w:r>
            <w:r w:rsidR="005F3A8E">
              <w:t xml:space="preserve"> </w:t>
            </w:r>
            <w:r w:rsidRPr="00454C82">
              <w:rPr>
                <w:rFonts w:ascii="Times New Roman" w:hAnsi="Times New Roman" w:cs="Times New Roman"/>
                <w:b/>
                <w:sz w:val="24"/>
                <w:szCs w:val="24"/>
                <w:lang w:eastAsia="uk-UA"/>
              </w:rPr>
              <w:t xml:space="preserve">учасника клірингу з центральним контрагентом на користь клієнта на груповій основі </w:t>
            </w:r>
          </w:p>
          <w:p w14:paraId="1CF58E61" w14:textId="6E59C014" w:rsidR="00C830E1" w:rsidRPr="00454C82" w:rsidRDefault="00C830E1" w:rsidP="00C830E1">
            <w:pPr>
              <w:pStyle w:val="a3"/>
              <w:ind w:left="0"/>
              <w:jc w:val="both"/>
              <w:rPr>
                <w:rFonts w:ascii="Times New Roman" w:hAnsi="Times New Roman" w:cs="Times New Roman"/>
                <w:b/>
                <w:sz w:val="24"/>
                <w:szCs w:val="24"/>
                <w:lang w:eastAsia="uk-UA"/>
              </w:rPr>
            </w:pPr>
            <w:r w:rsidRPr="00454C82">
              <w:rPr>
                <w:rFonts w:ascii="Times New Roman" w:eastAsia="Times New Roman" w:hAnsi="Times New Roman" w:cs="Times New Roman"/>
                <w:sz w:val="24"/>
                <w:szCs w:val="24"/>
                <w:lang w:eastAsia="uk-UA"/>
              </w:rPr>
              <w:t>1. Сукупний</w:t>
            </w:r>
            <w:r w:rsidRPr="00454C82">
              <w:rPr>
                <w:rFonts w:ascii="Times New Roman" w:hAnsi="Times New Roman" w:cs="Times New Roman"/>
                <w:sz w:val="24"/>
                <w:szCs w:val="24"/>
                <w:lang w:eastAsia="uk-UA"/>
              </w:rPr>
              <w:t xml:space="preserve"> розмір експозицій за деривативами банку-учасника</w:t>
            </w:r>
            <w:r w:rsidRPr="00454C82">
              <w:rPr>
                <w:rFonts w:ascii="Times New Roman" w:hAnsi="Times New Roman" w:cs="Times New Roman"/>
                <w:b/>
                <w:sz w:val="24"/>
                <w:szCs w:val="24"/>
                <w:lang w:eastAsia="uk-UA"/>
              </w:rPr>
              <w:t xml:space="preserve"> </w:t>
            </w:r>
            <w:r w:rsidRPr="00454C82">
              <w:rPr>
                <w:rFonts w:ascii="Times New Roman" w:hAnsi="Times New Roman" w:cs="Times New Roman"/>
                <w:sz w:val="24"/>
                <w:szCs w:val="24"/>
                <w:lang w:eastAsia="uk-UA"/>
              </w:rPr>
              <w:t>клірингу з центральним контрагентом на користь клієнта, розрахованих на груповій основі</w:t>
            </w:r>
            <w:r w:rsidRPr="00454C82">
              <w:rPr>
                <w:rFonts w:ascii="Times New Roman" w:eastAsia="Times New Roman" w:hAnsi="Times New Roman" w:cs="Times New Roman"/>
                <w:sz w:val="24"/>
                <w:szCs w:val="24"/>
                <w:lang w:eastAsia="uk-UA"/>
              </w:rPr>
              <w:t xml:space="preserve"> згідно підпунктом 2 пункту 14 розділу ІІІ Положення № 89 із застосуванням коефіцієнта 0,21 </w:t>
            </w:r>
            <w:r w:rsidRPr="00581E07">
              <w:rPr>
                <w:rFonts w:ascii="Times New Roman" w:eastAsia="Times New Roman" w:hAnsi="Times New Roman" w:cs="Times New Roman"/>
                <w:sz w:val="24"/>
                <w:szCs w:val="24"/>
                <w:lang w:eastAsia="uk-UA"/>
              </w:rPr>
              <w:t>відповідно до пункту 27 розділу ІІІ Положення № 89.</w:t>
            </w:r>
          </w:p>
        </w:tc>
      </w:tr>
      <w:tr w:rsidR="00C830E1" w:rsidRPr="00CA443A" w14:paraId="58D89E4A" w14:textId="77777777" w:rsidTr="00920CCC">
        <w:tc>
          <w:tcPr>
            <w:tcW w:w="567" w:type="dxa"/>
            <w:tcBorders>
              <w:top w:val="single" w:sz="4" w:space="0" w:color="auto"/>
            </w:tcBorders>
            <w:shd w:val="clear" w:color="auto" w:fill="auto"/>
          </w:tcPr>
          <w:p w14:paraId="59C2BB37" w14:textId="24A9404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14</w:t>
            </w:r>
          </w:p>
        </w:tc>
        <w:tc>
          <w:tcPr>
            <w:tcW w:w="2668" w:type="dxa"/>
            <w:shd w:val="clear" w:color="auto" w:fill="auto"/>
          </w:tcPr>
          <w:p w14:paraId="72428808" w14:textId="77777777"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 xml:space="preserve">Складова сукупних активів та позабалансових зобов’язань. </w:t>
            </w:r>
          </w:p>
          <w:p w14:paraId="1E950121" w14:textId="11B500BA" w:rsidR="00C830E1" w:rsidRPr="00CA443A" w:rsidRDefault="00C830E1" w:rsidP="00C830E1">
            <w:pPr>
              <w:jc w:val="center"/>
              <w:rPr>
                <w:rFonts w:ascii="Times New Roman" w:hAnsi="Times New Roman" w:cs="Times New Roman"/>
                <w:sz w:val="24"/>
                <w:szCs w:val="24"/>
                <w:lang w:eastAsia="uk-UA"/>
              </w:rPr>
            </w:pPr>
            <w:r w:rsidRPr="00CA443A">
              <w:rPr>
                <w:rFonts w:ascii="Times New Roman" w:hAnsi="Times New Roman" w:cs="Times New Roman"/>
                <w:sz w:val="24"/>
                <w:szCs w:val="24"/>
                <w:lang w:eastAsia="uk-UA"/>
              </w:rPr>
              <w:t>Сукупний розмір надбавок за кредитний ризик контрагента за операціями репо / зворотного репо</w:t>
            </w:r>
          </w:p>
        </w:tc>
        <w:tc>
          <w:tcPr>
            <w:tcW w:w="1019" w:type="dxa"/>
            <w:shd w:val="clear" w:color="auto" w:fill="auto"/>
          </w:tcPr>
          <w:p w14:paraId="555901CA" w14:textId="5D7C2E46" w:rsidR="00C830E1" w:rsidRPr="00CA443A" w:rsidRDefault="00C830E1" w:rsidP="00C830E1">
            <w:pPr>
              <w:jc w:val="center"/>
              <w:rPr>
                <w:rFonts w:ascii="Times New Roman" w:eastAsia="Times New Roman" w:hAnsi="Times New Roman" w:cs="Times New Roman"/>
                <w:bCs/>
                <w:sz w:val="24"/>
                <w:szCs w:val="24"/>
                <w:lang w:eastAsia="uk-UA"/>
              </w:rPr>
            </w:pPr>
            <w:r w:rsidRPr="00CA443A">
              <w:rPr>
                <w:rFonts w:ascii="Times New Roman" w:eastAsia="Times New Roman" w:hAnsi="Times New Roman" w:cs="Times New Roman"/>
                <w:bCs/>
                <w:sz w:val="24"/>
                <w:szCs w:val="24"/>
                <w:lang w:eastAsia="uk-UA"/>
              </w:rPr>
              <w:t>A6</w:t>
            </w:r>
            <w:r w:rsidRPr="00CA443A">
              <w:rPr>
                <w:rFonts w:ascii="Times New Roman" w:eastAsia="Times New Roman" w:hAnsi="Times New Roman" w:cs="Times New Roman"/>
                <w:bCs/>
                <w:sz w:val="24"/>
                <w:szCs w:val="24"/>
                <w:lang w:val="en-US" w:eastAsia="uk-UA"/>
              </w:rPr>
              <w:t>J</w:t>
            </w:r>
            <w:r w:rsidRPr="00CA443A">
              <w:rPr>
                <w:rFonts w:ascii="Times New Roman" w:eastAsia="Times New Roman" w:hAnsi="Times New Roman" w:cs="Times New Roman"/>
                <w:bCs/>
                <w:sz w:val="24"/>
                <w:szCs w:val="24"/>
                <w:lang w:eastAsia="uk-UA"/>
              </w:rPr>
              <w:t>014</w:t>
            </w:r>
          </w:p>
        </w:tc>
        <w:tc>
          <w:tcPr>
            <w:tcW w:w="6237" w:type="dxa"/>
            <w:shd w:val="clear" w:color="auto" w:fill="auto"/>
          </w:tcPr>
          <w:p w14:paraId="41053B86" w14:textId="4BCD44E5" w:rsidR="00C830E1" w:rsidRPr="003D4A55" w:rsidRDefault="00C830E1" w:rsidP="00C830E1">
            <w:pPr>
              <w:jc w:val="both"/>
              <w:rPr>
                <w:rFonts w:ascii="Times New Roman" w:hAnsi="Times New Roman" w:cs="Times New Roman"/>
                <w:b/>
                <w:sz w:val="24"/>
                <w:szCs w:val="24"/>
                <w:lang w:eastAsia="uk-UA"/>
              </w:rPr>
            </w:pPr>
            <w:r w:rsidRPr="00CA443A">
              <w:rPr>
                <w:rFonts w:ascii="Times New Roman" w:hAnsi="Times New Roman" w:cs="Times New Roman"/>
                <w:b/>
                <w:sz w:val="24"/>
                <w:szCs w:val="24"/>
                <w:lang w:eastAsia="uk-UA"/>
              </w:rPr>
              <w:t xml:space="preserve">Розмір надбавок за кредитний ризик контрагента за </w:t>
            </w:r>
            <w:r w:rsidRPr="003D4A55">
              <w:rPr>
                <w:rFonts w:ascii="Times New Roman" w:hAnsi="Times New Roman" w:cs="Times New Roman"/>
                <w:b/>
                <w:sz w:val="24"/>
                <w:szCs w:val="24"/>
                <w:lang w:eastAsia="uk-UA"/>
              </w:rPr>
              <w:t>операціями репо / зворотного репо на індивідуальній основі</w:t>
            </w:r>
          </w:p>
          <w:p w14:paraId="089587CC" w14:textId="032CF14C" w:rsidR="00C36E9A" w:rsidRPr="00AF7810" w:rsidRDefault="00C830E1" w:rsidP="00C36E9A">
            <w:pPr>
              <w:pStyle w:val="a3"/>
              <w:ind w:left="0"/>
              <w:jc w:val="both"/>
              <w:rPr>
                <w:rFonts w:ascii="Times New Roman" w:hAnsi="Times New Roman" w:cs="Times New Roman"/>
                <w:sz w:val="24"/>
                <w:szCs w:val="24"/>
                <w:lang w:eastAsia="uk-UA"/>
              </w:rPr>
            </w:pPr>
            <w:r w:rsidRPr="003D4A55">
              <w:rPr>
                <w:rFonts w:ascii="Times New Roman" w:eastAsia="Times New Roman" w:hAnsi="Times New Roman" w:cs="Times New Roman"/>
                <w:sz w:val="24"/>
                <w:szCs w:val="24"/>
                <w:lang w:eastAsia="uk-UA"/>
              </w:rPr>
              <w:t xml:space="preserve">1. Сума за складовою </w:t>
            </w:r>
            <w:r w:rsidRPr="003D4A55">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w:t>
            </w:r>
            <w:r w:rsidRPr="003D4A55">
              <w:rPr>
                <w:rFonts w:ascii="Times New Roman" w:eastAsia="Times New Roman" w:hAnsi="Times New Roman" w:cs="Times New Roman"/>
                <w:sz w:val="24"/>
                <w:szCs w:val="24"/>
                <w:lang w:eastAsia="uk-UA"/>
              </w:rPr>
              <w:t xml:space="preserve">розрахованих </w:t>
            </w:r>
            <w:r w:rsidRPr="00AF7810">
              <w:rPr>
                <w:rFonts w:ascii="Times New Roman" w:eastAsia="Times New Roman" w:hAnsi="Times New Roman" w:cs="Times New Roman"/>
                <w:sz w:val="24"/>
                <w:szCs w:val="24"/>
                <w:lang w:eastAsia="uk-UA"/>
              </w:rPr>
              <w:t xml:space="preserve">на індивідуальній основі </w:t>
            </w:r>
            <w:r w:rsidRPr="003D4A55">
              <w:rPr>
                <w:rFonts w:ascii="Times New Roman" w:eastAsia="Times New Roman" w:hAnsi="Times New Roman" w:cs="Times New Roman"/>
                <w:sz w:val="24"/>
                <w:szCs w:val="24"/>
                <w:lang w:eastAsia="uk-UA"/>
              </w:rPr>
              <w:t xml:space="preserve">згідно з </w:t>
            </w:r>
            <w:r w:rsidR="00437A5B" w:rsidRPr="003D4A55">
              <w:rPr>
                <w:rFonts w:ascii="Times New Roman" w:eastAsia="Times New Roman" w:hAnsi="Times New Roman" w:cs="Times New Roman"/>
                <w:sz w:val="24"/>
                <w:szCs w:val="24"/>
                <w:lang w:eastAsia="uk-UA"/>
              </w:rPr>
              <w:t>пунктами</w:t>
            </w:r>
            <w:r w:rsidR="0001355D" w:rsidRPr="003D4A55">
              <w:rPr>
                <w:rFonts w:ascii="Times New Roman" w:eastAsia="Times New Roman" w:hAnsi="Times New Roman" w:cs="Times New Roman"/>
                <w:sz w:val="24"/>
                <w:szCs w:val="24"/>
                <w:lang w:eastAsia="uk-UA"/>
              </w:rPr>
              <w:t xml:space="preserve"> 37</w:t>
            </w:r>
            <w:r w:rsidR="00C36E9A" w:rsidRPr="00443A64">
              <w:rPr>
                <w:rFonts w:ascii="Times New Roman" w:eastAsia="Times New Roman" w:hAnsi="Times New Roman" w:cs="Times New Roman"/>
                <w:sz w:val="24"/>
                <w:szCs w:val="24"/>
                <w:lang w:eastAsia="uk-UA"/>
              </w:rPr>
              <w:t xml:space="preserve"> та 38</w:t>
            </w:r>
            <w:r w:rsidR="003E5CEC" w:rsidRPr="00443A64">
              <w:rPr>
                <w:rFonts w:ascii="Times New Roman" w:eastAsia="Times New Roman" w:hAnsi="Times New Roman" w:cs="Times New Roman"/>
                <w:sz w:val="24"/>
                <w:szCs w:val="24"/>
                <w:lang w:eastAsia="uk-UA"/>
              </w:rPr>
              <w:t xml:space="preserve"> розділу І</w:t>
            </w:r>
            <w:r w:rsidR="003E5CEC" w:rsidRPr="00AF7810">
              <w:rPr>
                <w:rFonts w:ascii="Times New Roman" w:eastAsia="Times New Roman" w:hAnsi="Times New Roman" w:cs="Times New Roman"/>
                <w:sz w:val="24"/>
                <w:szCs w:val="24"/>
                <w:lang w:val="en-US" w:eastAsia="uk-UA"/>
              </w:rPr>
              <w:t>V</w:t>
            </w:r>
            <w:r w:rsidR="003E5CEC" w:rsidRPr="00AF7810">
              <w:rPr>
                <w:rFonts w:ascii="Times New Roman" w:eastAsia="Times New Roman" w:hAnsi="Times New Roman" w:cs="Times New Roman"/>
                <w:sz w:val="24"/>
                <w:szCs w:val="24"/>
                <w:lang w:eastAsia="uk-UA"/>
              </w:rPr>
              <w:t xml:space="preserve"> Положення № 89</w:t>
            </w:r>
            <w:r w:rsidR="00C36E9A" w:rsidRPr="00AF7810">
              <w:rPr>
                <w:rFonts w:ascii="Times New Roman" w:eastAsia="Times New Roman" w:hAnsi="Times New Roman" w:cs="Times New Roman"/>
                <w:sz w:val="24"/>
                <w:szCs w:val="24"/>
                <w:lang w:eastAsia="uk-UA"/>
              </w:rPr>
              <w:t xml:space="preserve">, які </w:t>
            </w:r>
            <w:r w:rsidR="00C36E9A" w:rsidRPr="00AF7810">
              <w:rPr>
                <w:rFonts w:ascii="Times New Roman" w:hAnsi="Times New Roman" w:cs="Times New Roman"/>
                <w:sz w:val="24"/>
                <w:szCs w:val="24"/>
                <w:lang w:eastAsia="uk-UA"/>
              </w:rPr>
              <w:t>включаються</w:t>
            </w:r>
            <w:r w:rsidR="00C36E9A" w:rsidRPr="003D4A55">
              <w:rPr>
                <w:rFonts w:ascii="Times New Roman" w:hAnsi="Times New Roman" w:cs="Times New Roman"/>
                <w:sz w:val="24"/>
                <w:szCs w:val="24"/>
                <w:lang w:eastAsia="uk-UA"/>
              </w:rPr>
              <w:t xml:space="preserve"> до розрахунку </w:t>
            </w:r>
            <w:r w:rsidR="00437A5B" w:rsidRPr="003D4A55">
              <w:rPr>
                <w:rFonts w:ascii="Times New Roman" w:hAnsi="Times New Roman" w:cs="Times New Roman"/>
                <w:sz w:val="24"/>
                <w:szCs w:val="24"/>
                <w:lang w:eastAsia="uk-UA"/>
              </w:rPr>
              <w:t>сукупного розміру</w:t>
            </w:r>
            <w:r w:rsidR="00437A5B" w:rsidRPr="00443A64">
              <w:rPr>
                <w:rFonts w:ascii="Times New Roman" w:hAnsi="Times New Roman" w:cs="Times New Roman"/>
                <w:sz w:val="24"/>
                <w:szCs w:val="24"/>
                <w:lang w:eastAsia="uk-UA"/>
              </w:rPr>
              <w:t xml:space="preserve"> надбавок за кредитний ризик контрагента за операціями репо / зворотного репо </w:t>
            </w:r>
            <w:r w:rsidR="00C36E9A" w:rsidRPr="00AF7810">
              <w:rPr>
                <w:rFonts w:ascii="Times New Roman" w:hAnsi="Times New Roman" w:cs="Times New Roman"/>
                <w:sz w:val="24"/>
                <w:szCs w:val="24"/>
                <w:lang w:eastAsia="uk-UA"/>
              </w:rPr>
              <w:t xml:space="preserve">згідно з підпунктом 1 пункту </w:t>
            </w:r>
            <w:r w:rsidR="0066605A" w:rsidRPr="0066605A">
              <w:rPr>
                <w:rFonts w:ascii="Times New Roman" w:hAnsi="Times New Roman" w:cs="Times New Roman"/>
                <w:sz w:val="24"/>
                <w:szCs w:val="24"/>
                <w:lang w:val="ru-RU" w:eastAsia="uk-UA"/>
              </w:rPr>
              <w:t>35</w:t>
            </w:r>
            <w:r w:rsidR="00C36E9A" w:rsidRPr="00AF7810">
              <w:rPr>
                <w:rFonts w:ascii="Times New Roman" w:hAnsi="Times New Roman" w:cs="Times New Roman"/>
                <w:sz w:val="24"/>
                <w:szCs w:val="24"/>
                <w:lang w:eastAsia="uk-UA"/>
              </w:rPr>
              <w:t xml:space="preserve"> </w:t>
            </w:r>
            <w:r w:rsidR="00C36E9A" w:rsidRPr="00AF7810">
              <w:rPr>
                <w:rFonts w:ascii="Times New Roman" w:eastAsia="Times New Roman" w:hAnsi="Times New Roman" w:cs="Times New Roman"/>
                <w:sz w:val="24"/>
                <w:szCs w:val="24"/>
                <w:lang w:eastAsia="uk-UA"/>
              </w:rPr>
              <w:t xml:space="preserve">розділу </w:t>
            </w:r>
            <w:r w:rsidR="00C36E9A" w:rsidRPr="00AF7810">
              <w:rPr>
                <w:rFonts w:ascii="Times New Roman" w:eastAsia="Times New Roman" w:hAnsi="Times New Roman" w:cs="Times New Roman"/>
                <w:sz w:val="24"/>
                <w:szCs w:val="24"/>
                <w:lang w:val="en-US" w:eastAsia="uk-UA"/>
              </w:rPr>
              <w:t>IV</w:t>
            </w:r>
            <w:r w:rsidR="00D43593">
              <w:rPr>
                <w:rFonts w:ascii="Times New Roman" w:eastAsia="Times New Roman" w:hAnsi="Times New Roman" w:cs="Times New Roman"/>
                <w:sz w:val="24"/>
                <w:szCs w:val="24"/>
                <w:lang w:eastAsia="uk-UA"/>
              </w:rPr>
              <w:t xml:space="preserve"> Положення </w:t>
            </w:r>
            <w:r w:rsidR="00C36E9A" w:rsidRPr="00AF7810">
              <w:rPr>
                <w:rFonts w:ascii="Times New Roman" w:eastAsia="Times New Roman" w:hAnsi="Times New Roman" w:cs="Times New Roman"/>
                <w:sz w:val="24"/>
                <w:szCs w:val="24"/>
                <w:lang w:eastAsia="uk-UA"/>
              </w:rPr>
              <w:t>№ 89.</w:t>
            </w:r>
          </w:p>
          <w:p w14:paraId="52A68211" w14:textId="6AD42DD7" w:rsidR="00C830E1" w:rsidRPr="00CA443A" w:rsidRDefault="00C830E1" w:rsidP="00C36E9A">
            <w:pPr>
              <w:pStyle w:val="a3"/>
              <w:ind w:left="0"/>
              <w:jc w:val="both"/>
              <w:rPr>
                <w:rFonts w:ascii="Times New Roman" w:eastAsia="Times New Roman" w:hAnsi="Times New Roman" w:cs="Times New Roman"/>
                <w:sz w:val="24"/>
                <w:szCs w:val="24"/>
                <w:lang w:eastAsia="uk-UA"/>
              </w:rPr>
            </w:pPr>
            <w:r w:rsidRPr="00AF7810">
              <w:rPr>
                <w:rFonts w:ascii="Times New Roman" w:eastAsia="Times New Roman" w:hAnsi="Times New Roman" w:cs="Times New Roman"/>
                <w:sz w:val="24"/>
                <w:szCs w:val="24"/>
                <w:lang w:eastAsia="uk-UA"/>
              </w:rPr>
              <w:t xml:space="preserve">2. До цього показника не включається сума за показниками </w:t>
            </w:r>
            <w:r w:rsidRPr="00AF7810">
              <w:rPr>
                <w:rFonts w:ascii="Times New Roman" w:eastAsia="Times New Roman" w:hAnsi="Times New Roman" w:cs="Times New Roman"/>
                <w:bCs/>
                <w:sz w:val="24"/>
                <w:szCs w:val="24"/>
                <w:lang w:eastAsia="uk-UA"/>
              </w:rPr>
              <w:t>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016,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018,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020, A6</w:t>
            </w:r>
            <w:r w:rsidRPr="00AF7810">
              <w:rPr>
                <w:rFonts w:ascii="Times New Roman" w:eastAsia="Times New Roman" w:hAnsi="Times New Roman" w:cs="Times New Roman"/>
                <w:bCs/>
                <w:sz w:val="24"/>
                <w:szCs w:val="24"/>
                <w:lang w:val="en-US" w:eastAsia="uk-UA"/>
              </w:rPr>
              <w:t>J</w:t>
            </w:r>
            <w:r w:rsidRPr="00AF7810">
              <w:rPr>
                <w:rFonts w:ascii="Times New Roman" w:eastAsia="Times New Roman" w:hAnsi="Times New Roman" w:cs="Times New Roman"/>
                <w:bCs/>
                <w:sz w:val="24"/>
                <w:szCs w:val="24"/>
                <w:lang w:eastAsia="uk-UA"/>
              </w:rPr>
              <w:t>022.</w:t>
            </w:r>
          </w:p>
        </w:tc>
      </w:tr>
      <w:tr w:rsidR="00C830E1" w:rsidRPr="00FE60BF" w14:paraId="21399E23" w14:textId="77777777" w:rsidTr="00920CCC">
        <w:tc>
          <w:tcPr>
            <w:tcW w:w="567" w:type="dxa"/>
            <w:tcBorders>
              <w:top w:val="single" w:sz="4" w:space="0" w:color="auto"/>
            </w:tcBorders>
            <w:shd w:val="clear" w:color="auto" w:fill="auto"/>
          </w:tcPr>
          <w:p w14:paraId="500D5902" w14:textId="7C91C69B"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lastRenderedPageBreak/>
              <w:t>15</w:t>
            </w:r>
          </w:p>
        </w:tc>
        <w:tc>
          <w:tcPr>
            <w:tcW w:w="2668" w:type="dxa"/>
            <w:shd w:val="clear" w:color="auto" w:fill="auto"/>
          </w:tcPr>
          <w:p w14:paraId="5E312377"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2B1C81B6" w14:textId="1115170F"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Сукупний розмір надбавок за кредитний ризик контрагента за операціями репо / зворотного репо</w:t>
            </w:r>
          </w:p>
        </w:tc>
        <w:tc>
          <w:tcPr>
            <w:tcW w:w="1019" w:type="dxa"/>
            <w:shd w:val="clear" w:color="auto" w:fill="auto"/>
          </w:tcPr>
          <w:p w14:paraId="7FA8F0BD" w14:textId="51BAED2D" w:rsidR="00C830E1" w:rsidRPr="00FE60BF" w:rsidRDefault="00C830E1" w:rsidP="00C830E1">
            <w:pPr>
              <w:jc w:val="center"/>
              <w:rPr>
                <w:rFonts w:ascii="Times New Roman" w:eastAsia="Times New Roman" w:hAnsi="Times New Roman" w:cs="Times New Roman"/>
                <w:bCs/>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015</w:t>
            </w:r>
          </w:p>
        </w:tc>
        <w:tc>
          <w:tcPr>
            <w:tcW w:w="6237" w:type="dxa"/>
            <w:shd w:val="clear" w:color="auto" w:fill="auto"/>
          </w:tcPr>
          <w:p w14:paraId="761523FE" w14:textId="2AEF60F6"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операціями репо / </w:t>
            </w:r>
            <w:r>
              <w:rPr>
                <w:rFonts w:ascii="Times New Roman" w:hAnsi="Times New Roman" w:cs="Times New Roman"/>
                <w:b/>
                <w:sz w:val="24"/>
                <w:szCs w:val="24"/>
                <w:lang w:eastAsia="uk-UA"/>
              </w:rPr>
              <w:t xml:space="preserve">зворотного репо </w:t>
            </w:r>
            <w:r w:rsidRPr="00FE60BF">
              <w:rPr>
                <w:rFonts w:ascii="Times New Roman" w:hAnsi="Times New Roman" w:cs="Times New Roman"/>
                <w:b/>
                <w:sz w:val="24"/>
                <w:szCs w:val="24"/>
                <w:lang w:eastAsia="uk-UA"/>
              </w:rPr>
              <w:t>на груповій основі</w:t>
            </w:r>
          </w:p>
          <w:p w14:paraId="5FD082D2" w14:textId="6E9A852F" w:rsidR="00437A5B" w:rsidRPr="00CF5C09" w:rsidRDefault="00C830E1" w:rsidP="00437A5B">
            <w:pPr>
              <w:pStyle w:val="a3"/>
              <w:ind w:left="0"/>
              <w:jc w:val="both"/>
              <w:rPr>
                <w:rFonts w:ascii="Times New Roman" w:hAnsi="Times New Roman" w:cs="Times New Roman"/>
                <w:sz w:val="24"/>
                <w:szCs w:val="24"/>
                <w:lang w:eastAsia="uk-UA"/>
              </w:rPr>
            </w:pPr>
            <w:r w:rsidRPr="00FE60BF">
              <w:rPr>
                <w:rFonts w:ascii="Times New Roman" w:eastAsia="Times New Roman" w:hAnsi="Times New Roman" w:cs="Times New Roman"/>
                <w:sz w:val="24"/>
                <w:szCs w:val="24"/>
                <w:lang w:eastAsia="uk-UA"/>
              </w:rPr>
              <w:t xml:space="preserve">1. Сума </w:t>
            </w:r>
            <w:r w:rsidRPr="003D4A55">
              <w:rPr>
                <w:rFonts w:ascii="Times New Roman" w:eastAsia="Times New Roman" w:hAnsi="Times New Roman" w:cs="Times New Roman"/>
                <w:sz w:val="24"/>
                <w:szCs w:val="24"/>
                <w:lang w:eastAsia="uk-UA"/>
              </w:rPr>
              <w:t xml:space="preserve">за складовою </w:t>
            </w:r>
            <w:r w:rsidRPr="003D4A55">
              <w:rPr>
                <w:rFonts w:ascii="Times New Roman" w:hAnsi="Times New Roman" w:cs="Times New Roman"/>
                <w:sz w:val="24"/>
                <w:szCs w:val="24"/>
                <w:lang w:eastAsia="uk-UA"/>
              </w:rPr>
              <w:t>сукупних активі</w:t>
            </w:r>
            <w:r w:rsidRPr="00443A64">
              <w:rPr>
                <w:rFonts w:ascii="Times New Roman" w:hAnsi="Times New Roman" w:cs="Times New Roman"/>
                <w:sz w:val="24"/>
                <w:szCs w:val="24"/>
                <w:lang w:eastAsia="uk-UA"/>
              </w:rPr>
              <w:t xml:space="preserve">в та позабалансових зобов’язань – сукупний розмір надбавок за кредитний ризик контрагента за операціями репо / зворотного репо, </w:t>
            </w:r>
            <w:r w:rsidRPr="00AF7810">
              <w:rPr>
                <w:rFonts w:ascii="Times New Roman" w:eastAsia="Times New Roman" w:hAnsi="Times New Roman" w:cs="Times New Roman"/>
                <w:sz w:val="24"/>
                <w:szCs w:val="24"/>
                <w:lang w:eastAsia="uk-UA"/>
              </w:rPr>
              <w:t xml:space="preserve">розрахованих </w:t>
            </w:r>
            <w:r w:rsidRPr="0093670D">
              <w:rPr>
                <w:rFonts w:ascii="Times New Roman" w:hAnsi="Times New Roman" w:cs="Times New Roman"/>
                <w:sz w:val="24"/>
                <w:szCs w:val="24"/>
                <w:lang w:eastAsia="uk-UA"/>
              </w:rPr>
              <w:t>на груповій основі</w:t>
            </w:r>
            <w:r w:rsidRPr="003D4A55">
              <w:rPr>
                <w:rFonts w:ascii="Times New Roman" w:eastAsia="Times New Roman" w:hAnsi="Times New Roman" w:cs="Times New Roman"/>
                <w:sz w:val="24"/>
                <w:szCs w:val="24"/>
                <w:lang w:eastAsia="uk-UA"/>
              </w:rPr>
              <w:t xml:space="preserve"> згідно з </w:t>
            </w:r>
            <w:r w:rsidRPr="00443A64">
              <w:rPr>
                <w:rFonts w:ascii="Times New Roman" w:eastAsia="Times New Roman" w:hAnsi="Times New Roman" w:cs="Times New Roman"/>
                <w:sz w:val="24"/>
                <w:szCs w:val="24"/>
                <w:lang w:eastAsia="uk-UA"/>
              </w:rPr>
              <w:t>пункт</w:t>
            </w:r>
            <w:r w:rsidR="00C652CD" w:rsidRPr="00AF7810">
              <w:rPr>
                <w:rFonts w:ascii="Times New Roman" w:eastAsia="Times New Roman" w:hAnsi="Times New Roman" w:cs="Times New Roman"/>
                <w:sz w:val="24"/>
                <w:szCs w:val="24"/>
                <w:lang w:eastAsia="uk-UA"/>
              </w:rPr>
              <w:t>ом</w:t>
            </w:r>
            <w:r w:rsidR="00437A5B" w:rsidRPr="0093670D">
              <w:rPr>
                <w:rFonts w:ascii="Times New Roman" w:eastAsia="Times New Roman" w:hAnsi="Times New Roman" w:cs="Times New Roman"/>
                <w:sz w:val="24"/>
                <w:szCs w:val="24"/>
                <w:lang w:eastAsia="uk-UA"/>
              </w:rPr>
              <w:t xml:space="preserve"> </w:t>
            </w:r>
            <w:r w:rsidR="00C652CD" w:rsidRPr="0093670D">
              <w:rPr>
                <w:rFonts w:ascii="Times New Roman" w:eastAsia="Times New Roman" w:hAnsi="Times New Roman" w:cs="Times New Roman"/>
                <w:sz w:val="24"/>
                <w:szCs w:val="24"/>
                <w:lang w:eastAsia="uk-UA"/>
              </w:rPr>
              <w:t>39</w:t>
            </w:r>
            <w:r w:rsidRPr="0093670D">
              <w:rPr>
                <w:rFonts w:ascii="Times New Roman" w:eastAsia="Times New Roman" w:hAnsi="Times New Roman" w:cs="Times New Roman"/>
                <w:sz w:val="24"/>
                <w:szCs w:val="24"/>
                <w:lang w:eastAsia="uk-UA"/>
              </w:rPr>
              <w:t xml:space="preserve"> розділу І</w:t>
            </w:r>
            <w:r w:rsidRPr="0093670D">
              <w:rPr>
                <w:rFonts w:ascii="Times New Roman" w:eastAsia="Times New Roman" w:hAnsi="Times New Roman" w:cs="Times New Roman"/>
                <w:sz w:val="24"/>
                <w:szCs w:val="24"/>
                <w:lang w:val="en-US" w:eastAsia="uk-UA"/>
              </w:rPr>
              <w:t>V</w:t>
            </w:r>
            <w:r w:rsidRPr="0093670D">
              <w:rPr>
                <w:rFonts w:ascii="Times New Roman" w:eastAsia="Times New Roman" w:hAnsi="Times New Roman" w:cs="Times New Roman"/>
                <w:sz w:val="24"/>
                <w:szCs w:val="24"/>
                <w:lang w:eastAsia="uk-UA"/>
              </w:rPr>
              <w:t xml:space="preserve"> Положення № 89</w:t>
            </w:r>
            <w:r w:rsidR="00437A5B" w:rsidRPr="0093670D">
              <w:rPr>
                <w:rFonts w:ascii="Times New Roman" w:eastAsia="Times New Roman" w:hAnsi="Times New Roman" w:cs="Times New Roman"/>
                <w:sz w:val="24"/>
                <w:szCs w:val="24"/>
                <w:lang w:eastAsia="uk-UA"/>
              </w:rPr>
              <w:t xml:space="preserve">, які </w:t>
            </w:r>
            <w:r w:rsidR="00437A5B" w:rsidRPr="0093670D">
              <w:rPr>
                <w:rFonts w:ascii="Times New Roman" w:hAnsi="Times New Roman" w:cs="Times New Roman"/>
                <w:sz w:val="24"/>
                <w:szCs w:val="24"/>
                <w:lang w:eastAsia="uk-UA"/>
              </w:rPr>
              <w:t>включаються</w:t>
            </w:r>
            <w:r w:rsidR="00437A5B" w:rsidRPr="003D4A55">
              <w:rPr>
                <w:rFonts w:ascii="Times New Roman" w:hAnsi="Times New Roman" w:cs="Times New Roman"/>
                <w:sz w:val="24"/>
                <w:szCs w:val="24"/>
                <w:lang w:eastAsia="uk-UA"/>
              </w:rPr>
              <w:t xml:space="preserve"> до розрахунку сукупного</w:t>
            </w:r>
            <w:r w:rsidR="00437A5B" w:rsidRPr="00443A64">
              <w:rPr>
                <w:rFonts w:ascii="Times New Roman" w:hAnsi="Times New Roman" w:cs="Times New Roman"/>
                <w:sz w:val="24"/>
                <w:szCs w:val="24"/>
                <w:lang w:eastAsia="uk-UA"/>
              </w:rPr>
              <w:t xml:space="preserve"> розміру надбавок за кредитний ризик контрагента за операціями репо / зворотного репо</w:t>
            </w:r>
            <w:r w:rsidR="00437A5B" w:rsidRPr="00AF7810">
              <w:rPr>
                <w:rFonts w:ascii="Times New Roman" w:hAnsi="Times New Roman" w:cs="Times New Roman"/>
                <w:sz w:val="24"/>
                <w:szCs w:val="24"/>
                <w:lang w:eastAsia="uk-UA"/>
              </w:rPr>
              <w:t xml:space="preserve"> згідно з підпунктом </w:t>
            </w:r>
            <w:r w:rsidR="00437A5B">
              <w:rPr>
                <w:rFonts w:ascii="Times New Roman" w:hAnsi="Times New Roman" w:cs="Times New Roman"/>
                <w:sz w:val="24"/>
                <w:szCs w:val="24"/>
                <w:lang w:eastAsia="uk-UA"/>
              </w:rPr>
              <w:t>2</w:t>
            </w:r>
            <w:r w:rsidR="00437A5B" w:rsidRPr="00FE60BF">
              <w:rPr>
                <w:rFonts w:ascii="Times New Roman" w:hAnsi="Times New Roman" w:cs="Times New Roman"/>
                <w:sz w:val="24"/>
                <w:szCs w:val="24"/>
                <w:lang w:eastAsia="uk-UA"/>
              </w:rPr>
              <w:t xml:space="preserve"> пункту </w:t>
            </w:r>
            <w:r w:rsidR="0066605A" w:rsidRPr="0066605A">
              <w:rPr>
                <w:rFonts w:ascii="Times New Roman" w:hAnsi="Times New Roman" w:cs="Times New Roman"/>
                <w:sz w:val="24"/>
                <w:szCs w:val="24"/>
                <w:lang w:val="ru-RU" w:eastAsia="uk-UA"/>
              </w:rPr>
              <w:t>35</w:t>
            </w:r>
            <w:r w:rsidR="00437A5B" w:rsidRPr="00FE60BF">
              <w:rPr>
                <w:rFonts w:ascii="Times New Roman" w:hAnsi="Times New Roman" w:cs="Times New Roman"/>
                <w:sz w:val="24"/>
                <w:szCs w:val="24"/>
                <w:lang w:eastAsia="uk-UA"/>
              </w:rPr>
              <w:t xml:space="preserve"> </w:t>
            </w:r>
            <w:r w:rsidR="00437A5B" w:rsidRPr="00FE60BF">
              <w:rPr>
                <w:rFonts w:ascii="Times New Roman" w:eastAsia="Times New Roman" w:hAnsi="Times New Roman" w:cs="Times New Roman"/>
                <w:sz w:val="24"/>
                <w:szCs w:val="24"/>
                <w:lang w:eastAsia="uk-UA"/>
              </w:rPr>
              <w:t xml:space="preserve">розділу </w:t>
            </w:r>
            <w:r w:rsidR="00437A5B" w:rsidRPr="00FE60BF">
              <w:rPr>
                <w:rFonts w:ascii="Times New Roman" w:eastAsia="Times New Roman" w:hAnsi="Times New Roman" w:cs="Times New Roman"/>
                <w:sz w:val="24"/>
                <w:szCs w:val="24"/>
                <w:lang w:val="en-US" w:eastAsia="uk-UA"/>
              </w:rPr>
              <w:t>IV</w:t>
            </w:r>
            <w:r w:rsidR="00D43593">
              <w:rPr>
                <w:rFonts w:ascii="Times New Roman" w:eastAsia="Times New Roman" w:hAnsi="Times New Roman" w:cs="Times New Roman"/>
                <w:sz w:val="24"/>
                <w:szCs w:val="24"/>
                <w:lang w:eastAsia="uk-UA"/>
              </w:rPr>
              <w:t xml:space="preserve"> Положення </w:t>
            </w:r>
            <w:r w:rsidR="00437A5B" w:rsidRPr="00FE60BF">
              <w:rPr>
                <w:rFonts w:ascii="Times New Roman" w:eastAsia="Times New Roman" w:hAnsi="Times New Roman" w:cs="Times New Roman"/>
                <w:sz w:val="24"/>
                <w:szCs w:val="24"/>
                <w:lang w:eastAsia="uk-UA"/>
              </w:rPr>
              <w:t>№ </w:t>
            </w:r>
            <w:r w:rsidR="00437A5B">
              <w:rPr>
                <w:rFonts w:ascii="Times New Roman" w:eastAsia="Times New Roman" w:hAnsi="Times New Roman" w:cs="Times New Roman"/>
                <w:sz w:val="24"/>
                <w:szCs w:val="24"/>
                <w:lang w:eastAsia="uk-UA"/>
              </w:rPr>
              <w:t>89.</w:t>
            </w:r>
          </w:p>
          <w:p w14:paraId="0F2889C2" w14:textId="4A5EBC5C" w:rsidR="00C830E1" w:rsidRPr="00FE60BF" w:rsidRDefault="00C830E1" w:rsidP="00437A5B">
            <w:pPr>
              <w:pStyle w:val="a3"/>
              <w:ind w:left="0"/>
              <w:jc w:val="both"/>
              <w:rPr>
                <w:rFonts w:ascii="Times New Roman" w:eastAsia="Times New Roman" w:hAnsi="Times New Roman" w:cs="Times New Roman"/>
                <w:sz w:val="24"/>
                <w:szCs w:val="24"/>
                <w:lang w:val="ru-RU" w:eastAsia="uk-UA"/>
              </w:rPr>
            </w:pPr>
            <w:r w:rsidRPr="00FE60BF">
              <w:rPr>
                <w:rFonts w:ascii="Times New Roman" w:eastAsia="Times New Roman" w:hAnsi="Times New Roman" w:cs="Times New Roman"/>
                <w:sz w:val="24"/>
                <w:szCs w:val="24"/>
                <w:lang w:eastAsia="uk-UA"/>
              </w:rPr>
              <w:t>2</w:t>
            </w:r>
            <w:r>
              <w:rPr>
                <w:rFonts w:ascii="Times New Roman" w:eastAsia="Times New Roman" w:hAnsi="Times New Roman" w:cs="Times New Roman"/>
                <w:sz w:val="24"/>
                <w:szCs w:val="24"/>
                <w:lang w:eastAsia="uk-UA"/>
              </w:rPr>
              <w:t>. До цього показника не включає</w:t>
            </w:r>
            <w:r w:rsidRPr="00EE12E0">
              <w:rPr>
                <w:rFonts w:ascii="Times New Roman" w:eastAsia="Times New Roman" w:hAnsi="Times New Roman" w:cs="Times New Roman"/>
                <w:sz w:val="24"/>
                <w:szCs w:val="24"/>
                <w:lang w:eastAsia="uk-UA"/>
              </w:rPr>
              <w:t xml:space="preserve">ться </w:t>
            </w:r>
            <w:r>
              <w:rPr>
                <w:rFonts w:ascii="Times New Roman" w:eastAsia="Times New Roman" w:hAnsi="Times New Roman" w:cs="Times New Roman"/>
                <w:sz w:val="24"/>
                <w:szCs w:val="24"/>
                <w:lang w:eastAsia="uk-UA"/>
              </w:rPr>
              <w:t>сума</w:t>
            </w:r>
            <w:r w:rsidRPr="00EE12E0">
              <w:rPr>
                <w:rFonts w:ascii="Times New Roman" w:eastAsia="Times New Roman" w:hAnsi="Times New Roman" w:cs="Times New Roman"/>
                <w:sz w:val="24"/>
                <w:szCs w:val="24"/>
                <w:lang w:eastAsia="uk-UA"/>
              </w:rPr>
              <w:t xml:space="preserve"> за показниками </w:t>
            </w:r>
            <w:r w:rsidRPr="00EE12E0">
              <w:rPr>
                <w:rFonts w:ascii="Times New Roman" w:eastAsia="Times New Roman" w:hAnsi="Times New Roman" w:cs="Times New Roman"/>
                <w:bCs/>
                <w:sz w:val="24"/>
                <w:szCs w:val="24"/>
                <w:lang w:eastAsia="uk-UA"/>
              </w:rPr>
              <w:t>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017,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019,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021, A6</w:t>
            </w:r>
            <w:r w:rsidRPr="00EE12E0">
              <w:rPr>
                <w:rFonts w:ascii="Times New Roman" w:eastAsia="Times New Roman" w:hAnsi="Times New Roman" w:cs="Times New Roman"/>
                <w:bCs/>
                <w:sz w:val="24"/>
                <w:szCs w:val="24"/>
                <w:lang w:val="en-US" w:eastAsia="uk-UA"/>
              </w:rPr>
              <w:t>J</w:t>
            </w:r>
            <w:r w:rsidRPr="00EE12E0">
              <w:rPr>
                <w:rFonts w:ascii="Times New Roman" w:eastAsia="Times New Roman" w:hAnsi="Times New Roman" w:cs="Times New Roman"/>
                <w:bCs/>
                <w:sz w:val="24"/>
                <w:szCs w:val="24"/>
                <w:lang w:eastAsia="uk-UA"/>
              </w:rPr>
              <w:t>023.</w:t>
            </w:r>
          </w:p>
        </w:tc>
      </w:tr>
      <w:tr w:rsidR="00C830E1" w:rsidRPr="00FE60BF" w14:paraId="746EF862" w14:textId="77777777" w:rsidTr="00920CCC">
        <w:tc>
          <w:tcPr>
            <w:tcW w:w="567" w:type="dxa"/>
            <w:tcBorders>
              <w:top w:val="single" w:sz="4" w:space="0" w:color="auto"/>
            </w:tcBorders>
            <w:shd w:val="clear" w:color="auto" w:fill="auto"/>
          </w:tcPr>
          <w:p w14:paraId="0583F810" w14:textId="709ED3E2"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16</w:t>
            </w:r>
          </w:p>
        </w:tc>
        <w:tc>
          <w:tcPr>
            <w:tcW w:w="2668" w:type="dxa"/>
            <w:shd w:val="clear" w:color="auto" w:fill="auto"/>
          </w:tcPr>
          <w:p w14:paraId="5F7D2576"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32D02DB1" w14:textId="7C0D172B" w:rsidR="00C830E1" w:rsidRPr="00FE60BF"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7775BBC2" w14:textId="58F843D3" w:rsidR="00C830E1" w:rsidRPr="00FE60BF" w:rsidRDefault="00C830E1" w:rsidP="00C830E1">
            <w:pPr>
              <w:jc w:val="center"/>
              <w:rPr>
                <w:rFonts w:ascii="Times New Roman" w:eastAsia="Times New Roman" w:hAnsi="Times New Roman" w:cs="Times New Roman"/>
                <w:bCs/>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016</w:t>
            </w:r>
          </w:p>
        </w:tc>
        <w:tc>
          <w:tcPr>
            <w:tcW w:w="6237" w:type="dxa"/>
            <w:shd w:val="clear" w:color="auto" w:fill="auto"/>
          </w:tcPr>
          <w:p w14:paraId="373FEA6A" w14:textId="55AD7B43"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операціями репо / </w:t>
            </w:r>
            <w:r>
              <w:rPr>
                <w:rFonts w:ascii="Times New Roman" w:hAnsi="Times New Roman" w:cs="Times New Roman"/>
                <w:b/>
                <w:sz w:val="24"/>
                <w:szCs w:val="24"/>
                <w:lang w:eastAsia="uk-UA"/>
              </w:rPr>
              <w:t xml:space="preserve">зворотного репо </w:t>
            </w:r>
            <w:r w:rsidRPr="00FE60BF">
              <w:rPr>
                <w:rFonts w:ascii="Times New Roman" w:hAnsi="Times New Roman" w:cs="Times New Roman"/>
                <w:b/>
                <w:sz w:val="24"/>
                <w:szCs w:val="24"/>
                <w:lang w:eastAsia="uk-UA"/>
              </w:rPr>
              <w:t>на індивідуальній основі за агентськими договорами, які передбачають гарантію / відшкодування одному контрагенту,  що не перевищує різниц</w:t>
            </w:r>
            <w:r w:rsidR="005F3A8E">
              <w:rPr>
                <w:rFonts w:ascii="Times New Roman" w:hAnsi="Times New Roman" w:cs="Times New Roman"/>
                <w:b/>
                <w:sz w:val="24"/>
                <w:szCs w:val="24"/>
                <w:lang w:eastAsia="uk-UA"/>
              </w:rPr>
              <w:t>і</w:t>
            </w:r>
            <w:r w:rsidRPr="00FE60BF">
              <w:rPr>
                <w:rFonts w:ascii="Times New Roman" w:hAnsi="Times New Roman" w:cs="Times New Roman"/>
                <w:b/>
                <w:sz w:val="24"/>
                <w:szCs w:val="24"/>
                <w:lang w:eastAsia="uk-UA"/>
              </w:rPr>
              <w:t xml:space="preserve"> вартостей активів</w:t>
            </w:r>
          </w:p>
          <w:p w14:paraId="7AB10738" w14:textId="19462932" w:rsidR="00C830E1" w:rsidRPr="00FE60BF" w:rsidRDefault="00C830E1" w:rsidP="00C830E1">
            <w:pPr>
              <w:jc w:val="both"/>
              <w:rPr>
                <w:rFonts w:ascii="Times New Roman" w:eastAsia="Times New Roman" w:hAnsi="Times New Roman" w:cs="Times New Roman"/>
                <w:sz w:val="24"/>
                <w:szCs w:val="24"/>
                <w:lang w:eastAsia="uk-UA"/>
              </w:rPr>
            </w:pPr>
            <w:r w:rsidRPr="00FE60BF">
              <w:rPr>
                <w:rFonts w:ascii="Times New Roman" w:hAnsi="Times New Roman" w:cs="Times New Roman"/>
                <w:b/>
                <w:sz w:val="24"/>
                <w:szCs w:val="24"/>
                <w:lang w:eastAsia="uk-UA"/>
              </w:rPr>
              <w:t xml:space="preserve"> </w:t>
            </w:r>
            <w:r w:rsidRPr="00FE60BF">
              <w:rPr>
                <w:rFonts w:ascii="Times New Roman" w:eastAsia="Times New Roman" w:hAnsi="Times New Roman" w:cs="Times New Roman"/>
                <w:sz w:val="24"/>
                <w:szCs w:val="24"/>
                <w:lang w:eastAsia="uk-UA"/>
              </w:rPr>
              <w:t xml:space="preserve">1. Сума за складовою </w:t>
            </w:r>
            <w:r w:rsidRPr="00FE60BF">
              <w:rPr>
                <w:rFonts w:ascii="Times New Roman" w:hAnsi="Times New Roman" w:cs="Times New Roman"/>
                <w:sz w:val="24"/>
                <w:szCs w:val="24"/>
                <w:lang w:eastAsia="uk-UA"/>
              </w:rPr>
              <w:t>сукупних активі</w:t>
            </w:r>
            <w:r>
              <w:rPr>
                <w:rFonts w:ascii="Times New Roman" w:hAnsi="Times New Roman" w:cs="Times New Roman"/>
                <w:sz w:val="24"/>
                <w:szCs w:val="24"/>
                <w:lang w:eastAsia="uk-UA"/>
              </w:rPr>
              <w:t>в та позабалансових зобов’язань – </w:t>
            </w:r>
            <w:r w:rsidRPr="00FE60BF">
              <w:rPr>
                <w:rFonts w:ascii="Times New Roman" w:hAnsi="Times New Roman" w:cs="Times New Roman"/>
                <w:sz w:val="24"/>
                <w:szCs w:val="24"/>
                <w:lang w:eastAsia="uk-UA"/>
              </w:rPr>
              <w:t xml:space="preserve">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CA4557">
              <w:rPr>
                <w:rFonts w:ascii="Times New Roman" w:eastAsia="Times New Roman" w:hAnsi="Times New Roman" w:cs="Times New Roman"/>
                <w:sz w:val="24"/>
                <w:szCs w:val="24"/>
                <w:lang w:eastAsia="uk-UA"/>
              </w:rPr>
              <w:t xml:space="preserve">розрахованих на індивідуальній основі </w:t>
            </w:r>
            <w:r w:rsidRPr="00FE60BF">
              <w:rPr>
                <w:rFonts w:ascii="Times New Roman" w:eastAsia="Times New Roman" w:hAnsi="Times New Roman" w:cs="Times New Roman"/>
                <w:sz w:val="24"/>
                <w:szCs w:val="24"/>
                <w:lang w:eastAsia="uk-UA"/>
              </w:rPr>
              <w:t xml:space="preserve">згідно з </w:t>
            </w:r>
            <w:r w:rsidR="00012ACF">
              <w:rPr>
                <w:rFonts w:ascii="Times New Roman" w:eastAsia="Times New Roman" w:hAnsi="Times New Roman" w:cs="Times New Roman"/>
                <w:sz w:val="24"/>
                <w:szCs w:val="24"/>
                <w:lang w:eastAsia="uk-UA"/>
              </w:rPr>
              <w:t xml:space="preserve">пунктами 37 та 38 </w:t>
            </w:r>
            <w:r w:rsidR="00012ACF" w:rsidRPr="00FE60BF">
              <w:rPr>
                <w:rFonts w:ascii="Times New Roman" w:eastAsia="Times New Roman" w:hAnsi="Times New Roman" w:cs="Times New Roman"/>
                <w:sz w:val="24"/>
                <w:szCs w:val="24"/>
                <w:lang w:eastAsia="uk-UA"/>
              </w:rPr>
              <w:t>розділу І</w:t>
            </w:r>
            <w:r w:rsidR="00012ACF" w:rsidRPr="00FE60BF">
              <w:rPr>
                <w:rFonts w:ascii="Times New Roman" w:eastAsia="Times New Roman" w:hAnsi="Times New Roman" w:cs="Times New Roman"/>
                <w:sz w:val="24"/>
                <w:szCs w:val="24"/>
                <w:lang w:val="en-US" w:eastAsia="uk-UA"/>
              </w:rPr>
              <w:t>V</w:t>
            </w:r>
            <w:r w:rsidR="00012ACF" w:rsidRPr="00FE60BF">
              <w:rPr>
                <w:rFonts w:ascii="Times New Roman" w:eastAsia="Times New Roman" w:hAnsi="Times New Roman" w:cs="Times New Roman"/>
                <w:sz w:val="24"/>
                <w:szCs w:val="24"/>
                <w:lang w:eastAsia="uk-UA"/>
              </w:rPr>
              <w:t xml:space="preserve"> Положення № 89</w:t>
            </w:r>
            <w:r w:rsidRPr="00CA4557">
              <w:rPr>
                <w:rFonts w:ascii="Times New Roman" w:eastAsia="Times New Roman" w:hAnsi="Times New Roman" w:cs="Times New Roman"/>
                <w:sz w:val="24"/>
                <w:szCs w:val="24"/>
                <w:lang w:eastAsia="uk-UA"/>
              </w:rPr>
              <w:t xml:space="preserve">, </w:t>
            </w:r>
            <w:r w:rsidRPr="00CA4557">
              <w:rPr>
                <w:rFonts w:ascii="Times New Roman" w:hAnsi="Times New Roman" w:cs="Times New Roman"/>
                <w:sz w:val="24"/>
                <w:szCs w:val="24"/>
                <w:lang w:eastAsia="uk-UA"/>
              </w:rPr>
              <w:t xml:space="preserve">які включаються до розрахунку сукупних активів </w:t>
            </w:r>
            <w:r w:rsidRPr="00FE60BF">
              <w:rPr>
                <w:rFonts w:ascii="Times New Roman" w:hAnsi="Times New Roman" w:cs="Times New Roman"/>
                <w:sz w:val="24"/>
                <w:szCs w:val="24"/>
                <w:lang w:eastAsia="uk-UA"/>
              </w:rPr>
              <w:t xml:space="preserve">та позабалансових зобов’язань згідно з підпунктом 1 пункту 41 </w:t>
            </w:r>
            <w:r w:rsidRPr="00FE60BF">
              <w:rPr>
                <w:rFonts w:ascii="Times New Roman" w:eastAsia="Times New Roman" w:hAnsi="Times New Roman" w:cs="Times New Roman"/>
                <w:sz w:val="24"/>
                <w:szCs w:val="24"/>
                <w:lang w:eastAsia="uk-UA"/>
              </w:rPr>
              <w:t xml:space="preserve">розділу </w:t>
            </w:r>
            <w:r w:rsidRPr="00FE60BF">
              <w:rPr>
                <w:rFonts w:ascii="Times New Roman" w:eastAsia="Times New Roman" w:hAnsi="Times New Roman" w:cs="Times New Roman"/>
                <w:sz w:val="24"/>
                <w:szCs w:val="24"/>
                <w:lang w:val="en-US" w:eastAsia="uk-UA"/>
              </w:rPr>
              <w:t>IV</w:t>
            </w:r>
            <w:r w:rsidRPr="00FE60BF">
              <w:rPr>
                <w:rFonts w:ascii="Times New Roman" w:eastAsia="Times New Roman" w:hAnsi="Times New Roman" w:cs="Times New Roman"/>
                <w:sz w:val="24"/>
                <w:szCs w:val="24"/>
                <w:lang w:eastAsia="uk-UA"/>
              </w:rPr>
              <w:t xml:space="preserve"> Положення № </w:t>
            </w:r>
            <w:r>
              <w:rPr>
                <w:rFonts w:ascii="Times New Roman" w:eastAsia="Times New Roman" w:hAnsi="Times New Roman" w:cs="Times New Roman"/>
                <w:sz w:val="24"/>
                <w:szCs w:val="24"/>
                <w:lang w:eastAsia="uk-UA"/>
              </w:rPr>
              <w:t>89.</w:t>
            </w:r>
          </w:p>
        </w:tc>
      </w:tr>
      <w:tr w:rsidR="00C830E1" w:rsidRPr="00FE60BF" w14:paraId="25452BCE" w14:textId="77777777" w:rsidTr="00920CCC">
        <w:tc>
          <w:tcPr>
            <w:tcW w:w="567" w:type="dxa"/>
            <w:tcBorders>
              <w:top w:val="single" w:sz="4" w:space="0" w:color="auto"/>
            </w:tcBorders>
            <w:shd w:val="clear" w:color="auto" w:fill="auto"/>
          </w:tcPr>
          <w:p w14:paraId="44C1D460" w14:textId="13E3BDDF"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17</w:t>
            </w:r>
          </w:p>
        </w:tc>
        <w:tc>
          <w:tcPr>
            <w:tcW w:w="2668" w:type="dxa"/>
            <w:shd w:val="clear" w:color="auto" w:fill="auto"/>
          </w:tcPr>
          <w:p w14:paraId="7AB9B01B" w14:textId="77777777" w:rsidR="00C830E1" w:rsidRPr="00FE60BF" w:rsidRDefault="00C830E1" w:rsidP="00C830E1">
            <w:pPr>
              <w:jc w:val="center"/>
              <w:rPr>
                <w:rFonts w:ascii="Times New Roman" w:hAnsi="Times New Roman" w:cs="Times New Roman"/>
                <w:sz w:val="24"/>
                <w:szCs w:val="24"/>
                <w:lang w:eastAsia="uk-UA"/>
              </w:rPr>
            </w:pPr>
            <w:r w:rsidRPr="00FE60BF">
              <w:rPr>
                <w:rFonts w:ascii="Times New Roman" w:hAnsi="Times New Roman" w:cs="Times New Roman"/>
                <w:sz w:val="24"/>
                <w:szCs w:val="24"/>
                <w:lang w:eastAsia="uk-UA"/>
              </w:rPr>
              <w:t xml:space="preserve">Складова сукупних активів та позабалансових зобов’язань. </w:t>
            </w:r>
          </w:p>
          <w:p w14:paraId="5AFD3699" w14:textId="1D3ECA0E" w:rsidR="00C830E1" w:rsidRPr="00FE60BF"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5B1C98E" w14:textId="3607C01C" w:rsidR="00C830E1" w:rsidRPr="00FE60BF" w:rsidRDefault="00C830E1" w:rsidP="00C830E1">
            <w:pPr>
              <w:rPr>
                <w:rFonts w:ascii="Times New Roman" w:eastAsia="Times New Roman" w:hAnsi="Times New Roman" w:cs="Times New Roman"/>
                <w:sz w:val="24"/>
                <w:szCs w:val="24"/>
                <w:lang w:eastAsia="uk-UA"/>
              </w:rPr>
            </w:pPr>
            <w:r w:rsidRPr="00FE60BF">
              <w:rPr>
                <w:rFonts w:ascii="Times New Roman" w:eastAsia="Times New Roman" w:hAnsi="Times New Roman" w:cs="Times New Roman"/>
                <w:bCs/>
                <w:sz w:val="24"/>
                <w:szCs w:val="24"/>
                <w:lang w:eastAsia="uk-UA"/>
              </w:rPr>
              <w:t>A6</w:t>
            </w:r>
            <w:r w:rsidRPr="00FE60BF">
              <w:rPr>
                <w:rFonts w:ascii="Times New Roman" w:eastAsia="Times New Roman" w:hAnsi="Times New Roman" w:cs="Times New Roman"/>
                <w:bCs/>
                <w:sz w:val="24"/>
                <w:szCs w:val="24"/>
                <w:lang w:val="en-US" w:eastAsia="uk-UA"/>
              </w:rPr>
              <w:t>J</w:t>
            </w:r>
            <w:r w:rsidRPr="00FE60BF">
              <w:rPr>
                <w:rFonts w:ascii="Times New Roman" w:eastAsia="Times New Roman" w:hAnsi="Times New Roman" w:cs="Times New Roman"/>
                <w:bCs/>
                <w:sz w:val="24"/>
                <w:szCs w:val="24"/>
                <w:lang w:eastAsia="uk-UA"/>
              </w:rPr>
              <w:t>017</w:t>
            </w:r>
          </w:p>
        </w:tc>
        <w:tc>
          <w:tcPr>
            <w:tcW w:w="6237" w:type="dxa"/>
            <w:shd w:val="clear" w:color="auto" w:fill="auto"/>
          </w:tcPr>
          <w:p w14:paraId="0EC692AA" w14:textId="7A04120E" w:rsidR="00C830E1" w:rsidRPr="00FE60BF" w:rsidRDefault="00C830E1" w:rsidP="00C830E1">
            <w:pPr>
              <w:jc w:val="both"/>
              <w:rPr>
                <w:rFonts w:ascii="Times New Roman" w:hAnsi="Times New Roman" w:cs="Times New Roman"/>
                <w:b/>
                <w:sz w:val="24"/>
                <w:szCs w:val="24"/>
                <w:lang w:eastAsia="uk-UA"/>
              </w:rPr>
            </w:pPr>
            <w:r w:rsidRPr="00FE60BF">
              <w:rPr>
                <w:rFonts w:ascii="Times New Roman" w:hAnsi="Times New Roman" w:cs="Times New Roman"/>
                <w:b/>
                <w:sz w:val="24"/>
                <w:szCs w:val="24"/>
                <w:lang w:eastAsia="uk-UA"/>
              </w:rPr>
              <w:t>Розмір надбавок за кредитний ризик контрагента за опе</w:t>
            </w:r>
            <w:r>
              <w:rPr>
                <w:rFonts w:ascii="Times New Roman" w:hAnsi="Times New Roman" w:cs="Times New Roman"/>
                <w:b/>
                <w:sz w:val="24"/>
                <w:szCs w:val="24"/>
                <w:lang w:eastAsia="uk-UA"/>
              </w:rPr>
              <w:t xml:space="preserve">раціями репо / зворотного репо </w:t>
            </w:r>
            <w:r w:rsidRPr="00FE60BF">
              <w:rPr>
                <w:rFonts w:ascii="Times New Roman" w:hAnsi="Times New Roman" w:cs="Times New Roman"/>
                <w:b/>
                <w:sz w:val="24"/>
                <w:szCs w:val="24"/>
                <w:lang w:eastAsia="uk-UA"/>
              </w:rPr>
              <w:t>на груповій</w:t>
            </w:r>
            <w:r>
              <w:rPr>
                <w:rFonts w:ascii="Times New Roman" w:hAnsi="Times New Roman" w:cs="Times New Roman"/>
                <w:b/>
                <w:sz w:val="24"/>
                <w:szCs w:val="24"/>
                <w:lang w:eastAsia="uk-UA"/>
              </w:rPr>
              <w:t xml:space="preserve"> основі</w:t>
            </w:r>
            <w:r w:rsidRPr="00FE60BF">
              <w:rPr>
                <w:rFonts w:ascii="Times New Roman" w:hAnsi="Times New Roman" w:cs="Times New Roman"/>
                <w:b/>
                <w:sz w:val="24"/>
                <w:szCs w:val="24"/>
                <w:lang w:eastAsia="uk-UA"/>
              </w:rPr>
              <w:t xml:space="preserve"> за агентськими договорами, які передбачають гарантію / відшкодування одному контрагенту,  що не перевищує різниц</w:t>
            </w:r>
            <w:r w:rsidR="005F3A8E">
              <w:rPr>
                <w:rFonts w:ascii="Times New Roman" w:hAnsi="Times New Roman" w:cs="Times New Roman"/>
                <w:b/>
                <w:sz w:val="24"/>
                <w:szCs w:val="24"/>
                <w:lang w:eastAsia="uk-UA"/>
              </w:rPr>
              <w:t>і</w:t>
            </w:r>
            <w:r w:rsidRPr="00FE60BF">
              <w:rPr>
                <w:rFonts w:ascii="Times New Roman" w:hAnsi="Times New Roman" w:cs="Times New Roman"/>
                <w:b/>
                <w:sz w:val="24"/>
                <w:szCs w:val="24"/>
                <w:lang w:eastAsia="uk-UA"/>
              </w:rPr>
              <w:t xml:space="preserve"> вартостей активів</w:t>
            </w:r>
          </w:p>
          <w:p w14:paraId="73DAA051" w14:textId="10BEF52A" w:rsidR="00C830E1" w:rsidRPr="00FE60BF" w:rsidRDefault="00C830E1" w:rsidP="00C830E1">
            <w:pPr>
              <w:jc w:val="both"/>
              <w:rPr>
                <w:rFonts w:ascii="Times New Roman" w:hAnsi="Times New Roman" w:cs="Times New Roman"/>
                <w:b/>
                <w:sz w:val="24"/>
                <w:szCs w:val="24"/>
                <w:lang w:eastAsia="uk-UA"/>
              </w:rPr>
            </w:pPr>
            <w:r w:rsidRPr="00FE60BF">
              <w:rPr>
                <w:rFonts w:ascii="Times New Roman" w:eastAsia="Times New Roman" w:hAnsi="Times New Roman" w:cs="Times New Roman"/>
                <w:sz w:val="24"/>
                <w:szCs w:val="24"/>
                <w:lang w:eastAsia="uk-UA"/>
              </w:rPr>
              <w:t xml:space="preserve">1. </w:t>
            </w:r>
            <w:r w:rsidRPr="00073ED8">
              <w:rPr>
                <w:rFonts w:ascii="Times New Roman" w:eastAsia="Times New Roman" w:hAnsi="Times New Roman" w:cs="Times New Roman"/>
                <w:sz w:val="24"/>
                <w:szCs w:val="24"/>
                <w:lang w:eastAsia="uk-UA"/>
              </w:rPr>
              <w:t xml:space="preserve">Сума за складовою </w:t>
            </w:r>
            <w:r w:rsidRPr="00073ED8">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073ED8">
              <w:rPr>
                <w:rFonts w:ascii="Times New Roman" w:eastAsia="Times New Roman" w:hAnsi="Times New Roman" w:cs="Times New Roman"/>
                <w:sz w:val="24"/>
                <w:szCs w:val="24"/>
                <w:lang w:eastAsia="uk-UA"/>
              </w:rPr>
              <w:t xml:space="preserve">розрахованих </w:t>
            </w:r>
            <w:r w:rsidRPr="00073ED8">
              <w:rPr>
                <w:rFonts w:ascii="Times New Roman" w:hAnsi="Times New Roman" w:cs="Times New Roman"/>
                <w:sz w:val="24"/>
                <w:szCs w:val="24"/>
                <w:lang w:eastAsia="uk-UA"/>
              </w:rPr>
              <w:t>на груповій основі</w:t>
            </w:r>
            <w:r w:rsidRPr="00073ED8">
              <w:rPr>
                <w:rFonts w:ascii="Times New Roman" w:eastAsia="Times New Roman" w:hAnsi="Times New Roman" w:cs="Times New Roman"/>
                <w:sz w:val="24"/>
                <w:szCs w:val="24"/>
                <w:lang w:eastAsia="uk-UA"/>
              </w:rPr>
              <w:t xml:space="preserve"> згідно </w:t>
            </w:r>
            <w:r w:rsidR="008C2E08" w:rsidRPr="00073ED8">
              <w:rPr>
                <w:rFonts w:ascii="Times New Roman" w:eastAsia="Times New Roman" w:hAnsi="Times New Roman" w:cs="Times New Roman"/>
                <w:sz w:val="24"/>
                <w:szCs w:val="24"/>
                <w:lang w:eastAsia="uk-UA"/>
              </w:rPr>
              <w:t>з пунктом 39 розділу І</w:t>
            </w:r>
            <w:r w:rsidR="008C2E08" w:rsidRPr="00073ED8">
              <w:rPr>
                <w:rFonts w:ascii="Times New Roman" w:eastAsia="Times New Roman" w:hAnsi="Times New Roman" w:cs="Times New Roman"/>
                <w:sz w:val="24"/>
                <w:szCs w:val="24"/>
                <w:lang w:val="en-US" w:eastAsia="uk-UA"/>
              </w:rPr>
              <w:t>V</w:t>
            </w:r>
            <w:r w:rsidR="008C2E08" w:rsidRPr="00073ED8">
              <w:rPr>
                <w:rFonts w:ascii="Times New Roman" w:eastAsia="Times New Roman" w:hAnsi="Times New Roman" w:cs="Times New Roman"/>
                <w:sz w:val="24"/>
                <w:szCs w:val="24"/>
                <w:lang w:eastAsia="uk-UA"/>
              </w:rPr>
              <w:t xml:space="preserve"> Положення № 89</w:t>
            </w:r>
            <w:r w:rsidRPr="00073ED8">
              <w:rPr>
                <w:rFonts w:ascii="Times New Roman" w:eastAsia="Times New Roman" w:hAnsi="Times New Roman" w:cs="Times New Roman"/>
                <w:sz w:val="24"/>
                <w:szCs w:val="24"/>
                <w:lang w:eastAsia="uk-UA"/>
              </w:rPr>
              <w:t xml:space="preserve">, </w:t>
            </w:r>
            <w:r w:rsidRPr="00073ED8">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підпунктом 1 пункту 41 </w:t>
            </w:r>
            <w:r w:rsidRPr="00073ED8">
              <w:rPr>
                <w:rFonts w:ascii="Times New Roman" w:eastAsia="Times New Roman" w:hAnsi="Times New Roman" w:cs="Times New Roman"/>
                <w:sz w:val="24"/>
                <w:szCs w:val="24"/>
                <w:lang w:eastAsia="uk-UA"/>
              </w:rPr>
              <w:t xml:space="preserve">розділу </w:t>
            </w:r>
            <w:r w:rsidRPr="00073ED8">
              <w:rPr>
                <w:rFonts w:ascii="Times New Roman" w:eastAsia="Times New Roman" w:hAnsi="Times New Roman" w:cs="Times New Roman"/>
                <w:sz w:val="24"/>
                <w:szCs w:val="24"/>
                <w:lang w:val="en-US" w:eastAsia="uk-UA"/>
              </w:rPr>
              <w:t>IV</w:t>
            </w:r>
            <w:r w:rsidRPr="00073ED8">
              <w:rPr>
                <w:rFonts w:ascii="Times New Roman" w:eastAsia="Times New Roman" w:hAnsi="Times New Roman" w:cs="Times New Roman"/>
                <w:sz w:val="24"/>
                <w:szCs w:val="24"/>
                <w:lang w:eastAsia="uk-UA"/>
              </w:rPr>
              <w:t xml:space="preserve"> Положення № 89.</w:t>
            </w:r>
          </w:p>
        </w:tc>
      </w:tr>
      <w:tr w:rsidR="00C830E1" w:rsidRPr="00B575A3" w14:paraId="7E171088" w14:textId="77777777" w:rsidTr="00920CCC">
        <w:tc>
          <w:tcPr>
            <w:tcW w:w="567" w:type="dxa"/>
            <w:tcBorders>
              <w:top w:val="single" w:sz="4" w:space="0" w:color="auto"/>
            </w:tcBorders>
            <w:shd w:val="clear" w:color="auto" w:fill="auto"/>
          </w:tcPr>
          <w:p w14:paraId="34E51633" w14:textId="0201443A"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18</w:t>
            </w:r>
          </w:p>
        </w:tc>
        <w:tc>
          <w:tcPr>
            <w:tcW w:w="2668" w:type="dxa"/>
            <w:shd w:val="clear" w:color="auto" w:fill="auto"/>
          </w:tcPr>
          <w:p w14:paraId="16BCB0FD" w14:textId="77777777"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 xml:space="preserve">Складова сукупних активів та позабалансових зобов’язань. </w:t>
            </w:r>
          </w:p>
          <w:p w14:paraId="53917EFD" w14:textId="0CDA3143" w:rsidR="00C830E1" w:rsidRPr="00B575A3"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FC18F4C" w14:textId="5B4712FF" w:rsidR="00C830E1" w:rsidRPr="00B575A3" w:rsidRDefault="00C830E1" w:rsidP="00C830E1">
            <w:pPr>
              <w:jc w:val="center"/>
              <w:rPr>
                <w:rFonts w:ascii="Times New Roman" w:eastAsia="Times New Roman" w:hAnsi="Times New Roman" w:cs="Times New Roman"/>
                <w:bCs/>
                <w:sz w:val="24"/>
                <w:szCs w:val="24"/>
                <w:lang w:eastAsia="uk-UA"/>
              </w:rPr>
            </w:pPr>
            <w:r w:rsidRPr="00B575A3">
              <w:rPr>
                <w:rFonts w:ascii="Times New Roman" w:eastAsia="Times New Roman" w:hAnsi="Times New Roman" w:cs="Times New Roman"/>
                <w:bCs/>
                <w:sz w:val="24"/>
                <w:szCs w:val="24"/>
                <w:lang w:eastAsia="uk-UA"/>
              </w:rPr>
              <w:t>A6</w:t>
            </w:r>
            <w:r w:rsidRPr="00B575A3">
              <w:rPr>
                <w:rFonts w:ascii="Times New Roman" w:eastAsia="Times New Roman" w:hAnsi="Times New Roman" w:cs="Times New Roman"/>
                <w:bCs/>
                <w:sz w:val="24"/>
                <w:szCs w:val="24"/>
                <w:lang w:val="en-US" w:eastAsia="uk-UA"/>
              </w:rPr>
              <w:t>J</w:t>
            </w:r>
            <w:r w:rsidRPr="00B575A3">
              <w:rPr>
                <w:rFonts w:ascii="Times New Roman" w:eastAsia="Times New Roman" w:hAnsi="Times New Roman" w:cs="Times New Roman"/>
                <w:bCs/>
                <w:sz w:val="24"/>
                <w:szCs w:val="24"/>
                <w:lang w:eastAsia="uk-UA"/>
              </w:rPr>
              <w:t>018</w:t>
            </w:r>
          </w:p>
        </w:tc>
        <w:tc>
          <w:tcPr>
            <w:tcW w:w="6237" w:type="dxa"/>
            <w:shd w:val="clear" w:color="auto" w:fill="auto"/>
          </w:tcPr>
          <w:p w14:paraId="43B76332" w14:textId="23E3D119"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перевищує різницю вартостей активів</w:t>
            </w:r>
          </w:p>
          <w:p w14:paraId="0FA312DB" w14:textId="327AC57B" w:rsidR="00C830E1" w:rsidRPr="00D350EC" w:rsidRDefault="00C830E1" w:rsidP="00185362">
            <w:pPr>
              <w:pStyle w:val="a3"/>
              <w:ind w:left="0"/>
              <w:jc w:val="both"/>
              <w:rPr>
                <w:rFonts w:ascii="Times New Roman" w:eastAsia="Times New Roman" w:hAnsi="Times New Roman" w:cs="Times New Roman"/>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w:t>
            </w:r>
            <w:r w:rsidRPr="00D350EC">
              <w:rPr>
                <w:rFonts w:ascii="Times New Roman" w:hAnsi="Times New Roman" w:cs="Times New Roman"/>
                <w:sz w:val="24"/>
                <w:szCs w:val="24"/>
                <w:lang w:eastAsia="uk-UA"/>
              </w:rPr>
              <w:lastRenderedPageBreak/>
              <w:t xml:space="preserve">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розрахованих на індивідуальній основі згідно з</w:t>
            </w:r>
            <w:r w:rsidR="00725E1F" w:rsidRPr="00D350EC">
              <w:rPr>
                <w:rFonts w:ascii="Times New Roman" w:eastAsia="Times New Roman" w:hAnsi="Times New Roman" w:cs="Times New Roman"/>
                <w:sz w:val="24"/>
                <w:szCs w:val="24"/>
                <w:lang w:eastAsia="uk-UA"/>
              </w:rPr>
              <w:t xml:space="preserve"> пунктами 37 та 38 розділу І</w:t>
            </w:r>
            <w:r w:rsidR="00725E1F" w:rsidRPr="00D350EC">
              <w:rPr>
                <w:rFonts w:ascii="Times New Roman" w:eastAsia="Times New Roman" w:hAnsi="Times New Roman" w:cs="Times New Roman"/>
                <w:sz w:val="24"/>
                <w:szCs w:val="24"/>
                <w:lang w:val="en-US" w:eastAsia="uk-UA"/>
              </w:rPr>
              <w:t>V</w:t>
            </w:r>
            <w:r w:rsidR="00725E1F"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2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B575A3" w14:paraId="0E98A399" w14:textId="77777777" w:rsidTr="00920CCC">
        <w:tc>
          <w:tcPr>
            <w:tcW w:w="567" w:type="dxa"/>
            <w:tcBorders>
              <w:top w:val="single" w:sz="4" w:space="0" w:color="auto"/>
            </w:tcBorders>
            <w:shd w:val="clear" w:color="auto" w:fill="auto"/>
          </w:tcPr>
          <w:p w14:paraId="7A0EB8C9" w14:textId="3AEA1885"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lastRenderedPageBreak/>
              <w:t>19</w:t>
            </w:r>
          </w:p>
        </w:tc>
        <w:tc>
          <w:tcPr>
            <w:tcW w:w="2668" w:type="dxa"/>
            <w:shd w:val="clear" w:color="auto" w:fill="auto"/>
          </w:tcPr>
          <w:p w14:paraId="7BEAD235" w14:textId="77777777" w:rsidR="00C830E1" w:rsidRPr="00B575A3" w:rsidRDefault="00C830E1" w:rsidP="00C830E1">
            <w:pPr>
              <w:jc w:val="center"/>
              <w:rPr>
                <w:rFonts w:ascii="Times New Roman" w:hAnsi="Times New Roman" w:cs="Times New Roman"/>
                <w:sz w:val="24"/>
                <w:szCs w:val="24"/>
                <w:lang w:eastAsia="uk-UA"/>
              </w:rPr>
            </w:pPr>
            <w:r w:rsidRPr="00B575A3">
              <w:rPr>
                <w:rFonts w:ascii="Times New Roman" w:hAnsi="Times New Roman" w:cs="Times New Roman"/>
                <w:sz w:val="24"/>
                <w:szCs w:val="24"/>
                <w:lang w:eastAsia="uk-UA"/>
              </w:rPr>
              <w:t xml:space="preserve">Складова сукупних активів та позабалансових зобов’язань. </w:t>
            </w:r>
          </w:p>
          <w:p w14:paraId="21D3EC22" w14:textId="29A09755" w:rsidR="00C830E1" w:rsidRPr="00B575A3"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A16AA98" w14:textId="22E96312" w:rsidR="00C830E1" w:rsidRPr="00B575A3" w:rsidRDefault="00C830E1" w:rsidP="00C830E1">
            <w:pPr>
              <w:jc w:val="center"/>
              <w:rPr>
                <w:rFonts w:ascii="Times New Roman" w:eastAsia="Times New Roman" w:hAnsi="Times New Roman" w:cs="Times New Roman"/>
                <w:bCs/>
                <w:sz w:val="24"/>
                <w:szCs w:val="24"/>
                <w:lang w:eastAsia="uk-UA"/>
              </w:rPr>
            </w:pPr>
            <w:r w:rsidRPr="00B575A3">
              <w:rPr>
                <w:rFonts w:ascii="Times New Roman" w:eastAsia="Times New Roman" w:hAnsi="Times New Roman" w:cs="Times New Roman"/>
                <w:bCs/>
                <w:sz w:val="24"/>
                <w:szCs w:val="24"/>
                <w:lang w:eastAsia="uk-UA"/>
              </w:rPr>
              <w:t>A6</w:t>
            </w:r>
            <w:r w:rsidRPr="00B575A3">
              <w:rPr>
                <w:rFonts w:ascii="Times New Roman" w:eastAsia="Times New Roman" w:hAnsi="Times New Roman" w:cs="Times New Roman"/>
                <w:bCs/>
                <w:sz w:val="24"/>
                <w:szCs w:val="24"/>
                <w:lang w:val="en-US" w:eastAsia="uk-UA"/>
              </w:rPr>
              <w:t>J</w:t>
            </w:r>
            <w:r w:rsidRPr="00B575A3">
              <w:rPr>
                <w:rFonts w:ascii="Times New Roman" w:eastAsia="Times New Roman" w:hAnsi="Times New Roman" w:cs="Times New Roman"/>
                <w:bCs/>
                <w:sz w:val="24"/>
                <w:szCs w:val="24"/>
                <w:lang w:eastAsia="uk-UA"/>
              </w:rPr>
              <w:t>019</w:t>
            </w:r>
          </w:p>
        </w:tc>
        <w:tc>
          <w:tcPr>
            <w:tcW w:w="6237" w:type="dxa"/>
            <w:shd w:val="clear" w:color="auto" w:fill="auto"/>
          </w:tcPr>
          <w:p w14:paraId="535853CE" w14:textId="3252DEAB"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перевищує різницю вартостей активів</w:t>
            </w:r>
          </w:p>
          <w:p w14:paraId="329B65AE" w14:textId="0835A235" w:rsidR="00C830E1" w:rsidRPr="00D350EC" w:rsidRDefault="00C830E1" w:rsidP="00C830E1">
            <w:pPr>
              <w:jc w:val="both"/>
              <w:rPr>
                <w:rFonts w:ascii="Times New Roman" w:hAnsi="Times New Roman" w:cs="Times New Roman"/>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185362" w:rsidRPr="00D350EC">
              <w:rPr>
                <w:rFonts w:ascii="Times New Roman" w:eastAsia="Times New Roman" w:hAnsi="Times New Roman" w:cs="Times New Roman"/>
                <w:sz w:val="24"/>
                <w:szCs w:val="24"/>
                <w:lang w:eastAsia="uk-UA"/>
              </w:rPr>
              <w:t>пунктом 39 розділу І</w:t>
            </w:r>
            <w:r w:rsidR="00185362" w:rsidRPr="00D350EC">
              <w:rPr>
                <w:rFonts w:ascii="Times New Roman" w:eastAsia="Times New Roman" w:hAnsi="Times New Roman" w:cs="Times New Roman"/>
                <w:sz w:val="24"/>
                <w:szCs w:val="24"/>
                <w:lang w:val="en-US" w:eastAsia="uk-UA"/>
              </w:rPr>
              <w:t>V</w:t>
            </w:r>
            <w:r w:rsidR="00185362"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2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0638B9" w14:paraId="64583DD5" w14:textId="77777777" w:rsidTr="00920CCC">
        <w:tc>
          <w:tcPr>
            <w:tcW w:w="567" w:type="dxa"/>
            <w:tcBorders>
              <w:top w:val="single" w:sz="4" w:space="0" w:color="auto"/>
            </w:tcBorders>
            <w:shd w:val="clear" w:color="auto" w:fill="auto"/>
          </w:tcPr>
          <w:p w14:paraId="01C74DDF" w14:textId="2E9D8FF5"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20</w:t>
            </w:r>
          </w:p>
        </w:tc>
        <w:tc>
          <w:tcPr>
            <w:tcW w:w="2668" w:type="dxa"/>
            <w:shd w:val="clear" w:color="auto" w:fill="auto"/>
          </w:tcPr>
          <w:p w14:paraId="21AB2463" w14:textId="7777777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 xml:space="preserve">Складова сукупних активів та позабалансових зобов’язань. </w:t>
            </w:r>
          </w:p>
          <w:p w14:paraId="56030474" w14:textId="10DA5001" w:rsidR="00C830E1" w:rsidRPr="000638B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CCEC8EF" w14:textId="506F2DF9" w:rsidR="00C830E1" w:rsidRPr="000638B9" w:rsidRDefault="00C830E1" w:rsidP="00C830E1">
            <w:pPr>
              <w:jc w:val="center"/>
              <w:rPr>
                <w:rFonts w:ascii="Times New Roman" w:eastAsia="Times New Roman" w:hAnsi="Times New Roman" w:cs="Times New Roman"/>
                <w:bCs/>
                <w:sz w:val="24"/>
                <w:szCs w:val="24"/>
                <w:lang w:eastAsia="uk-UA"/>
              </w:rPr>
            </w:pPr>
            <w:r w:rsidRPr="000638B9">
              <w:rPr>
                <w:rFonts w:ascii="Times New Roman" w:eastAsia="Times New Roman" w:hAnsi="Times New Roman" w:cs="Times New Roman"/>
                <w:bCs/>
                <w:sz w:val="24"/>
                <w:szCs w:val="24"/>
                <w:lang w:eastAsia="uk-UA"/>
              </w:rPr>
              <w:t>A6</w:t>
            </w:r>
            <w:r w:rsidRPr="000638B9">
              <w:rPr>
                <w:rFonts w:ascii="Times New Roman" w:eastAsia="Times New Roman" w:hAnsi="Times New Roman" w:cs="Times New Roman"/>
                <w:bCs/>
                <w:sz w:val="24"/>
                <w:szCs w:val="24"/>
                <w:lang w:val="en-US" w:eastAsia="uk-UA"/>
              </w:rPr>
              <w:t>J</w:t>
            </w:r>
            <w:r w:rsidRPr="000638B9">
              <w:rPr>
                <w:rFonts w:ascii="Times New Roman" w:eastAsia="Times New Roman" w:hAnsi="Times New Roman" w:cs="Times New Roman"/>
                <w:bCs/>
                <w:sz w:val="24"/>
                <w:szCs w:val="24"/>
                <w:lang w:eastAsia="uk-UA"/>
              </w:rPr>
              <w:t>020</w:t>
            </w:r>
          </w:p>
        </w:tc>
        <w:tc>
          <w:tcPr>
            <w:tcW w:w="6237" w:type="dxa"/>
            <w:shd w:val="clear" w:color="auto" w:fill="auto"/>
          </w:tcPr>
          <w:p w14:paraId="466AA6E8" w14:textId="69CBDF5E"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не перевищує різниц</w:t>
            </w:r>
            <w:r w:rsidR="005F3A8E">
              <w:rPr>
                <w:rFonts w:ascii="Times New Roman" w:hAnsi="Times New Roman" w:cs="Times New Roman"/>
                <w:b/>
                <w:sz w:val="24"/>
                <w:szCs w:val="24"/>
                <w:lang w:eastAsia="uk-UA"/>
              </w:rPr>
              <w:t>і</w:t>
            </w:r>
            <w:r w:rsidRPr="00D350EC">
              <w:rPr>
                <w:rFonts w:ascii="Times New Roman" w:hAnsi="Times New Roman" w:cs="Times New Roman"/>
                <w:b/>
                <w:sz w:val="24"/>
                <w:szCs w:val="24"/>
                <w:lang w:eastAsia="uk-UA"/>
              </w:rPr>
              <w:t xml:space="preserve"> вартостей активів</w:t>
            </w:r>
          </w:p>
          <w:p w14:paraId="33FF4DCB" w14:textId="078F13F3"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на індивідуальній основі згідно з </w:t>
            </w:r>
            <w:r w:rsidR="00C74DE4" w:rsidRPr="00D350EC">
              <w:rPr>
                <w:rFonts w:ascii="Times New Roman" w:eastAsia="Times New Roman" w:hAnsi="Times New Roman" w:cs="Times New Roman"/>
                <w:sz w:val="24"/>
                <w:szCs w:val="24"/>
                <w:lang w:eastAsia="uk-UA"/>
              </w:rPr>
              <w:t>пунктами 37 та 38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0638B9" w14:paraId="7554F764" w14:textId="77777777" w:rsidTr="00920CCC">
        <w:tc>
          <w:tcPr>
            <w:tcW w:w="567" w:type="dxa"/>
            <w:tcBorders>
              <w:top w:val="single" w:sz="4" w:space="0" w:color="auto"/>
            </w:tcBorders>
            <w:shd w:val="clear" w:color="auto" w:fill="auto"/>
          </w:tcPr>
          <w:p w14:paraId="2491AF1B" w14:textId="4AADDD4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21</w:t>
            </w:r>
          </w:p>
        </w:tc>
        <w:tc>
          <w:tcPr>
            <w:tcW w:w="2668" w:type="dxa"/>
            <w:shd w:val="clear" w:color="auto" w:fill="auto"/>
          </w:tcPr>
          <w:p w14:paraId="33CBBB98" w14:textId="77777777" w:rsidR="00C830E1" w:rsidRPr="000638B9" w:rsidRDefault="00C830E1" w:rsidP="00C830E1">
            <w:pPr>
              <w:jc w:val="center"/>
              <w:rPr>
                <w:rFonts w:ascii="Times New Roman" w:hAnsi="Times New Roman" w:cs="Times New Roman"/>
                <w:sz w:val="24"/>
                <w:szCs w:val="24"/>
                <w:lang w:eastAsia="uk-UA"/>
              </w:rPr>
            </w:pPr>
            <w:r w:rsidRPr="000638B9">
              <w:rPr>
                <w:rFonts w:ascii="Times New Roman" w:hAnsi="Times New Roman" w:cs="Times New Roman"/>
                <w:sz w:val="24"/>
                <w:szCs w:val="24"/>
                <w:lang w:eastAsia="uk-UA"/>
              </w:rPr>
              <w:t xml:space="preserve">Складова сукупних активів та позабалансових зобов’язань. </w:t>
            </w:r>
          </w:p>
          <w:p w14:paraId="03F7671E" w14:textId="77777777" w:rsidR="00C830E1" w:rsidRPr="000638B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53BA83D" w14:textId="1468026C" w:rsidR="00C830E1" w:rsidRPr="000638B9" w:rsidRDefault="00C830E1" w:rsidP="00C830E1">
            <w:pPr>
              <w:jc w:val="center"/>
              <w:rPr>
                <w:rFonts w:ascii="Times New Roman" w:eastAsia="Times New Roman" w:hAnsi="Times New Roman" w:cs="Times New Roman"/>
                <w:bCs/>
                <w:sz w:val="24"/>
                <w:szCs w:val="24"/>
                <w:lang w:eastAsia="uk-UA"/>
              </w:rPr>
            </w:pPr>
            <w:r w:rsidRPr="000638B9">
              <w:rPr>
                <w:rFonts w:ascii="Times New Roman" w:eastAsia="Times New Roman" w:hAnsi="Times New Roman" w:cs="Times New Roman"/>
                <w:bCs/>
                <w:sz w:val="24"/>
                <w:szCs w:val="24"/>
                <w:lang w:eastAsia="uk-UA"/>
              </w:rPr>
              <w:t>A6</w:t>
            </w:r>
            <w:r w:rsidRPr="000638B9">
              <w:rPr>
                <w:rFonts w:ascii="Times New Roman" w:eastAsia="Times New Roman" w:hAnsi="Times New Roman" w:cs="Times New Roman"/>
                <w:bCs/>
                <w:sz w:val="24"/>
                <w:szCs w:val="24"/>
                <w:lang w:val="en-US" w:eastAsia="uk-UA"/>
              </w:rPr>
              <w:t>J</w:t>
            </w:r>
            <w:r w:rsidRPr="000638B9">
              <w:rPr>
                <w:rFonts w:ascii="Times New Roman" w:eastAsia="Times New Roman" w:hAnsi="Times New Roman" w:cs="Times New Roman"/>
                <w:bCs/>
                <w:sz w:val="24"/>
                <w:szCs w:val="24"/>
                <w:lang w:eastAsia="uk-UA"/>
              </w:rPr>
              <w:t>021</w:t>
            </w:r>
          </w:p>
        </w:tc>
        <w:tc>
          <w:tcPr>
            <w:tcW w:w="6237" w:type="dxa"/>
            <w:shd w:val="clear" w:color="auto" w:fill="auto"/>
          </w:tcPr>
          <w:p w14:paraId="17A9BF15" w14:textId="6EA84657"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не перевищує різниц</w:t>
            </w:r>
            <w:r w:rsidR="005F3A8E">
              <w:rPr>
                <w:rFonts w:ascii="Times New Roman" w:hAnsi="Times New Roman" w:cs="Times New Roman"/>
                <w:b/>
                <w:sz w:val="24"/>
                <w:szCs w:val="24"/>
                <w:lang w:eastAsia="uk-UA"/>
              </w:rPr>
              <w:t>і</w:t>
            </w:r>
            <w:r w:rsidRPr="00D350EC">
              <w:rPr>
                <w:rFonts w:ascii="Times New Roman" w:hAnsi="Times New Roman" w:cs="Times New Roman"/>
                <w:b/>
                <w:sz w:val="24"/>
                <w:szCs w:val="24"/>
                <w:lang w:eastAsia="uk-UA"/>
              </w:rPr>
              <w:t xml:space="preserve"> вартостей активів</w:t>
            </w:r>
          </w:p>
          <w:p w14:paraId="1CB20ACC" w14:textId="6B1CAACC"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C74DE4" w:rsidRPr="00D350EC">
              <w:rPr>
                <w:rFonts w:ascii="Times New Roman" w:eastAsia="Times New Roman" w:hAnsi="Times New Roman" w:cs="Times New Roman"/>
                <w:sz w:val="24"/>
                <w:szCs w:val="24"/>
                <w:lang w:eastAsia="uk-UA"/>
              </w:rPr>
              <w:t>пунктом 39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другим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B5039B" w14:paraId="09F203B4" w14:textId="77777777" w:rsidTr="00920CCC">
        <w:tc>
          <w:tcPr>
            <w:tcW w:w="567" w:type="dxa"/>
            <w:tcBorders>
              <w:top w:val="single" w:sz="4" w:space="0" w:color="auto"/>
            </w:tcBorders>
            <w:shd w:val="clear" w:color="auto" w:fill="auto"/>
          </w:tcPr>
          <w:p w14:paraId="0C108039" w14:textId="3334F181" w:rsidR="00C830E1" w:rsidRPr="00B5039B" w:rsidRDefault="00C830E1" w:rsidP="00C830E1">
            <w:pPr>
              <w:jc w:val="center"/>
              <w:rPr>
                <w:rFonts w:ascii="Times New Roman" w:hAnsi="Times New Roman" w:cs="Times New Roman"/>
                <w:sz w:val="24"/>
                <w:szCs w:val="24"/>
                <w:lang w:eastAsia="uk-UA"/>
              </w:rPr>
            </w:pPr>
            <w:r w:rsidRPr="00B5039B">
              <w:rPr>
                <w:rFonts w:ascii="Times New Roman" w:hAnsi="Times New Roman" w:cs="Times New Roman"/>
                <w:sz w:val="24"/>
                <w:szCs w:val="24"/>
                <w:lang w:eastAsia="uk-UA"/>
              </w:rPr>
              <w:lastRenderedPageBreak/>
              <w:t>22</w:t>
            </w:r>
          </w:p>
        </w:tc>
        <w:tc>
          <w:tcPr>
            <w:tcW w:w="2668" w:type="dxa"/>
            <w:shd w:val="clear" w:color="auto" w:fill="auto"/>
          </w:tcPr>
          <w:p w14:paraId="6419AB01" w14:textId="77777777" w:rsidR="00C830E1" w:rsidRPr="00B5039B" w:rsidRDefault="00C830E1" w:rsidP="00C830E1">
            <w:pPr>
              <w:jc w:val="center"/>
              <w:rPr>
                <w:rFonts w:ascii="Times New Roman" w:hAnsi="Times New Roman" w:cs="Times New Roman"/>
                <w:sz w:val="24"/>
                <w:szCs w:val="24"/>
                <w:lang w:eastAsia="uk-UA"/>
              </w:rPr>
            </w:pPr>
            <w:r w:rsidRPr="00B5039B">
              <w:rPr>
                <w:rFonts w:ascii="Times New Roman" w:hAnsi="Times New Roman" w:cs="Times New Roman"/>
                <w:sz w:val="24"/>
                <w:szCs w:val="24"/>
                <w:lang w:eastAsia="uk-UA"/>
              </w:rPr>
              <w:t xml:space="preserve">Складова сукупних активів та позабалансових зобов’язань. </w:t>
            </w:r>
          </w:p>
          <w:p w14:paraId="7013D34F" w14:textId="77777777" w:rsidR="00C830E1" w:rsidRPr="00B5039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439E7E47" w14:textId="65A9FE97" w:rsidR="00C830E1" w:rsidRPr="00B5039B" w:rsidRDefault="00C830E1" w:rsidP="00C830E1">
            <w:pPr>
              <w:jc w:val="center"/>
              <w:rPr>
                <w:rFonts w:ascii="Times New Roman" w:eastAsia="Times New Roman" w:hAnsi="Times New Roman" w:cs="Times New Roman"/>
                <w:bCs/>
                <w:sz w:val="24"/>
                <w:szCs w:val="24"/>
                <w:lang w:eastAsia="uk-UA"/>
              </w:rPr>
            </w:pPr>
            <w:r w:rsidRPr="00B5039B">
              <w:rPr>
                <w:rFonts w:ascii="Times New Roman" w:eastAsia="Times New Roman" w:hAnsi="Times New Roman" w:cs="Times New Roman"/>
                <w:bCs/>
                <w:sz w:val="24"/>
                <w:szCs w:val="24"/>
                <w:lang w:eastAsia="uk-UA"/>
              </w:rPr>
              <w:t>A6</w:t>
            </w:r>
            <w:r w:rsidRPr="00B5039B">
              <w:rPr>
                <w:rFonts w:ascii="Times New Roman" w:eastAsia="Times New Roman" w:hAnsi="Times New Roman" w:cs="Times New Roman"/>
                <w:bCs/>
                <w:sz w:val="24"/>
                <w:szCs w:val="24"/>
                <w:lang w:val="en-US" w:eastAsia="uk-UA"/>
              </w:rPr>
              <w:t>J</w:t>
            </w:r>
            <w:r w:rsidRPr="00B5039B">
              <w:rPr>
                <w:rFonts w:ascii="Times New Roman" w:eastAsia="Times New Roman" w:hAnsi="Times New Roman" w:cs="Times New Roman"/>
                <w:bCs/>
                <w:sz w:val="24"/>
                <w:szCs w:val="24"/>
                <w:lang w:eastAsia="uk-UA"/>
              </w:rPr>
              <w:t>022</w:t>
            </w:r>
          </w:p>
        </w:tc>
        <w:tc>
          <w:tcPr>
            <w:tcW w:w="6237" w:type="dxa"/>
            <w:shd w:val="clear" w:color="auto" w:fill="auto"/>
          </w:tcPr>
          <w:p w14:paraId="7E6771B9" w14:textId="66FBC250"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перевищує різницю вартостей активів</w:t>
            </w:r>
          </w:p>
          <w:p w14:paraId="325F37F2" w14:textId="484066C6"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на індивідуальній основі згідно з </w:t>
            </w:r>
            <w:r w:rsidR="00C74DE4" w:rsidRPr="00D350EC">
              <w:rPr>
                <w:rFonts w:ascii="Times New Roman" w:eastAsia="Times New Roman" w:hAnsi="Times New Roman" w:cs="Times New Roman"/>
                <w:sz w:val="24"/>
                <w:szCs w:val="24"/>
                <w:lang w:eastAsia="uk-UA"/>
              </w:rPr>
              <w:t>пунктами 37 та 38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третім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3432E9" w14:paraId="79C3486E" w14:textId="77777777" w:rsidTr="00920CCC">
        <w:tc>
          <w:tcPr>
            <w:tcW w:w="567" w:type="dxa"/>
            <w:tcBorders>
              <w:top w:val="single" w:sz="4" w:space="0" w:color="auto"/>
            </w:tcBorders>
            <w:shd w:val="clear" w:color="auto" w:fill="auto"/>
          </w:tcPr>
          <w:p w14:paraId="5F7A24F9" w14:textId="204610D8" w:rsidR="00C830E1" w:rsidRPr="003432E9" w:rsidRDefault="00C830E1" w:rsidP="00C830E1">
            <w:pPr>
              <w:jc w:val="center"/>
              <w:rPr>
                <w:rFonts w:ascii="Times New Roman" w:hAnsi="Times New Roman" w:cs="Times New Roman"/>
                <w:sz w:val="24"/>
                <w:szCs w:val="24"/>
                <w:lang w:eastAsia="uk-UA"/>
              </w:rPr>
            </w:pPr>
            <w:r w:rsidRPr="003432E9">
              <w:rPr>
                <w:rFonts w:ascii="Times New Roman" w:hAnsi="Times New Roman" w:cs="Times New Roman"/>
                <w:sz w:val="24"/>
                <w:szCs w:val="24"/>
                <w:lang w:eastAsia="uk-UA"/>
              </w:rPr>
              <w:t>23</w:t>
            </w:r>
          </w:p>
        </w:tc>
        <w:tc>
          <w:tcPr>
            <w:tcW w:w="2668" w:type="dxa"/>
            <w:shd w:val="clear" w:color="auto" w:fill="auto"/>
          </w:tcPr>
          <w:p w14:paraId="4350148D" w14:textId="77777777" w:rsidR="00C830E1" w:rsidRPr="003432E9" w:rsidRDefault="00C830E1" w:rsidP="00C830E1">
            <w:pPr>
              <w:jc w:val="center"/>
              <w:rPr>
                <w:rFonts w:ascii="Times New Roman" w:hAnsi="Times New Roman" w:cs="Times New Roman"/>
                <w:sz w:val="24"/>
                <w:szCs w:val="24"/>
                <w:lang w:eastAsia="uk-UA"/>
              </w:rPr>
            </w:pPr>
            <w:r w:rsidRPr="003432E9">
              <w:rPr>
                <w:rFonts w:ascii="Times New Roman" w:hAnsi="Times New Roman" w:cs="Times New Roman"/>
                <w:sz w:val="24"/>
                <w:szCs w:val="24"/>
                <w:lang w:eastAsia="uk-UA"/>
              </w:rPr>
              <w:t xml:space="preserve">Складова сукупних активів та позабалансових зобов’язань. </w:t>
            </w:r>
          </w:p>
          <w:p w14:paraId="6BE95213" w14:textId="64ADD68F" w:rsidR="00C830E1" w:rsidRPr="003432E9"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70FE9923" w14:textId="19996154" w:rsidR="00C830E1" w:rsidRPr="003432E9" w:rsidRDefault="00C830E1" w:rsidP="00C830E1">
            <w:pPr>
              <w:jc w:val="center"/>
              <w:rPr>
                <w:rFonts w:ascii="Times New Roman" w:eastAsia="Times New Roman" w:hAnsi="Times New Roman" w:cs="Times New Roman"/>
                <w:bCs/>
                <w:sz w:val="24"/>
                <w:szCs w:val="24"/>
                <w:lang w:eastAsia="uk-UA"/>
              </w:rPr>
            </w:pPr>
            <w:r w:rsidRPr="003432E9">
              <w:rPr>
                <w:rFonts w:ascii="Times New Roman" w:eastAsia="Times New Roman" w:hAnsi="Times New Roman" w:cs="Times New Roman"/>
                <w:bCs/>
                <w:sz w:val="24"/>
                <w:szCs w:val="24"/>
                <w:lang w:eastAsia="uk-UA"/>
              </w:rPr>
              <w:t>A6</w:t>
            </w:r>
            <w:r w:rsidRPr="003432E9">
              <w:rPr>
                <w:rFonts w:ascii="Times New Roman" w:eastAsia="Times New Roman" w:hAnsi="Times New Roman" w:cs="Times New Roman"/>
                <w:bCs/>
                <w:sz w:val="24"/>
                <w:szCs w:val="24"/>
                <w:lang w:val="en-US" w:eastAsia="uk-UA"/>
              </w:rPr>
              <w:t>J</w:t>
            </w:r>
            <w:r w:rsidRPr="003432E9">
              <w:rPr>
                <w:rFonts w:ascii="Times New Roman" w:eastAsia="Times New Roman" w:hAnsi="Times New Roman" w:cs="Times New Roman"/>
                <w:bCs/>
                <w:sz w:val="24"/>
                <w:szCs w:val="24"/>
                <w:lang w:eastAsia="uk-UA"/>
              </w:rPr>
              <w:t>023</w:t>
            </w:r>
          </w:p>
        </w:tc>
        <w:tc>
          <w:tcPr>
            <w:tcW w:w="6237" w:type="dxa"/>
            <w:shd w:val="clear" w:color="auto" w:fill="auto"/>
          </w:tcPr>
          <w:p w14:paraId="518501F9" w14:textId="5720F978" w:rsidR="00C830E1" w:rsidRPr="00D350EC" w:rsidRDefault="00C830E1" w:rsidP="00C830E1">
            <w:pPr>
              <w:jc w:val="both"/>
              <w:rPr>
                <w:rFonts w:ascii="Times New Roman" w:hAnsi="Times New Roman" w:cs="Times New Roman"/>
                <w:b/>
                <w:sz w:val="24"/>
                <w:szCs w:val="24"/>
                <w:lang w:eastAsia="uk-UA"/>
              </w:rPr>
            </w:pPr>
            <w:r w:rsidRPr="00D350EC">
              <w:rPr>
                <w:rFonts w:ascii="Times New Roman" w:hAnsi="Times New Roman" w:cs="Times New Roman"/>
                <w:b/>
                <w:sz w:val="24"/>
                <w:szCs w:val="24"/>
                <w:lang w:eastAsia="uk-UA"/>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перевищує різницю вартостей активів</w:t>
            </w:r>
          </w:p>
          <w:p w14:paraId="7245C5D4" w14:textId="23DDBB58" w:rsidR="00C830E1" w:rsidRPr="00D350EC" w:rsidRDefault="00C830E1" w:rsidP="00C830E1">
            <w:pPr>
              <w:jc w:val="both"/>
              <w:rPr>
                <w:rFonts w:ascii="Times New Roman" w:hAnsi="Times New Roman" w:cs="Times New Roman"/>
                <w:b/>
                <w:sz w:val="24"/>
                <w:szCs w:val="24"/>
                <w:lang w:eastAsia="uk-UA"/>
              </w:rPr>
            </w:pPr>
            <w:r w:rsidRPr="00D350EC">
              <w:rPr>
                <w:rFonts w:ascii="Times New Roman" w:eastAsia="Times New Roman" w:hAnsi="Times New Roman" w:cs="Times New Roman"/>
                <w:sz w:val="24"/>
                <w:szCs w:val="24"/>
                <w:lang w:eastAsia="uk-UA"/>
              </w:rPr>
              <w:t xml:space="preserve">1. Сума за складовою </w:t>
            </w:r>
            <w:r w:rsidRPr="00D350EC">
              <w:rPr>
                <w:rFonts w:ascii="Times New Roman" w:hAnsi="Times New Roman" w:cs="Times New Roman"/>
                <w:sz w:val="24"/>
                <w:szCs w:val="24"/>
                <w:lang w:eastAsia="uk-UA"/>
              </w:rPr>
              <w:t xml:space="preserve">сукупних активів та позабалансових зобов’язань – сукупний розмір надбавок за кредитний ризик контрагента за операціями репо / зворотного репо у разі надання банком послуг агента за операцією репо / зворотного репо, що здійснюється між двома контрагентами, </w:t>
            </w:r>
            <w:r w:rsidRPr="00D350EC">
              <w:rPr>
                <w:rFonts w:ascii="Times New Roman" w:eastAsia="Times New Roman" w:hAnsi="Times New Roman" w:cs="Times New Roman"/>
                <w:sz w:val="24"/>
                <w:szCs w:val="24"/>
                <w:lang w:eastAsia="uk-UA"/>
              </w:rPr>
              <w:t xml:space="preserve">розрахованих </w:t>
            </w:r>
            <w:r w:rsidRPr="00D350EC">
              <w:rPr>
                <w:rFonts w:ascii="Times New Roman" w:hAnsi="Times New Roman" w:cs="Times New Roman"/>
                <w:sz w:val="24"/>
                <w:szCs w:val="24"/>
                <w:lang w:eastAsia="uk-UA"/>
              </w:rPr>
              <w:t>на груповій основі</w:t>
            </w:r>
            <w:r w:rsidRPr="00D350EC">
              <w:rPr>
                <w:rFonts w:ascii="Times New Roman" w:eastAsia="Times New Roman" w:hAnsi="Times New Roman" w:cs="Times New Roman"/>
                <w:sz w:val="24"/>
                <w:szCs w:val="24"/>
                <w:lang w:eastAsia="uk-UA"/>
              </w:rPr>
              <w:t xml:space="preserve"> згідно з </w:t>
            </w:r>
            <w:r w:rsidR="00C74DE4" w:rsidRPr="00D350EC">
              <w:rPr>
                <w:rFonts w:ascii="Times New Roman" w:eastAsia="Times New Roman" w:hAnsi="Times New Roman" w:cs="Times New Roman"/>
                <w:sz w:val="24"/>
                <w:szCs w:val="24"/>
                <w:lang w:eastAsia="uk-UA"/>
              </w:rPr>
              <w:t>пунктом 39 розділу І</w:t>
            </w:r>
            <w:r w:rsidR="00C74DE4" w:rsidRPr="00D350EC">
              <w:rPr>
                <w:rFonts w:ascii="Times New Roman" w:eastAsia="Times New Roman" w:hAnsi="Times New Roman" w:cs="Times New Roman"/>
                <w:sz w:val="24"/>
                <w:szCs w:val="24"/>
                <w:lang w:val="en-US" w:eastAsia="uk-UA"/>
              </w:rPr>
              <w:t>V</w:t>
            </w:r>
            <w:r w:rsidR="00C74DE4" w:rsidRPr="00D350EC">
              <w:rPr>
                <w:rFonts w:ascii="Times New Roman" w:eastAsia="Times New Roman" w:hAnsi="Times New Roman" w:cs="Times New Roman"/>
                <w:sz w:val="24"/>
                <w:szCs w:val="24"/>
                <w:lang w:eastAsia="uk-UA"/>
              </w:rPr>
              <w:t xml:space="preserve"> Положення № 89</w:t>
            </w:r>
            <w:r w:rsidRPr="00D350EC">
              <w:rPr>
                <w:rFonts w:ascii="Times New Roman" w:eastAsia="Times New Roman" w:hAnsi="Times New Roman" w:cs="Times New Roman"/>
                <w:sz w:val="24"/>
                <w:szCs w:val="24"/>
                <w:lang w:eastAsia="uk-UA"/>
              </w:rPr>
              <w:t xml:space="preserve">, </w:t>
            </w:r>
            <w:r w:rsidRPr="00D350EC">
              <w:rPr>
                <w:rFonts w:ascii="Times New Roman" w:hAnsi="Times New Roman" w:cs="Times New Roman"/>
                <w:sz w:val="24"/>
                <w:szCs w:val="24"/>
                <w:lang w:eastAsia="uk-UA"/>
              </w:rPr>
              <w:t xml:space="preserve">які включаються до розрахунку сукупних активів та позабалансових зобов’язань згідно з абзацом третім підпункту 3 пункту 41 </w:t>
            </w:r>
            <w:r w:rsidRPr="00D350EC">
              <w:rPr>
                <w:rFonts w:ascii="Times New Roman" w:eastAsia="Times New Roman" w:hAnsi="Times New Roman" w:cs="Times New Roman"/>
                <w:sz w:val="24"/>
                <w:szCs w:val="24"/>
                <w:lang w:eastAsia="uk-UA"/>
              </w:rPr>
              <w:t xml:space="preserve">розділу </w:t>
            </w:r>
            <w:r w:rsidRPr="00D350EC">
              <w:rPr>
                <w:rFonts w:ascii="Times New Roman" w:eastAsia="Times New Roman" w:hAnsi="Times New Roman" w:cs="Times New Roman"/>
                <w:sz w:val="24"/>
                <w:szCs w:val="24"/>
                <w:lang w:val="en-US" w:eastAsia="uk-UA"/>
              </w:rPr>
              <w:t>IV</w:t>
            </w:r>
            <w:r w:rsidRPr="00D350EC">
              <w:rPr>
                <w:rFonts w:ascii="Times New Roman" w:eastAsia="Times New Roman" w:hAnsi="Times New Roman" w:cs="Times New Roman"/>
                <w:sz w:val="24"/>
                <w:szCs w:val="24"/>
                <w:lang w:eastAsia="uk-UA"/>
              </w:rPr>
              <w:t xml:space="preserve"> Положення № 89.</w:t>
            </w:r>
          </w:p>
        </w:tc>
      </w:tr>
      <w:tr w:rsidR="00C830E1" w:rsidRPr="00877E5A" w14:paraId="31C612A0" w14:textId="77777777" w:rsidTr="00920CCC">
        <w:tc>
          <w:tcPr>
            <w:tcW w:w="567" w:type="dxa"/>
            <w:tcBorders>
              <w:top w:val="single" w:sz="4" w:space="0" w:color="auto"/>
            </w:tcBorders>
            <w:shd w:val="clear" w:color="auto" w:fill="auto"/>
          </w:tcPr>
          <w:p w14:paraId="0A9A8B81" w14:textId="52AFFC74"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24</w:t>
            </w:r>
          </w:p>
        </w:tc>
        <w:tc>
          <w:tcPr>
            <w:tcW w:w="2668" w:type="dxa"/>
            <w:shd w:val="clear" w:color="auto" w:fill="auto"/>
          </w:tcPr>
          <w:p w14:paraId="462EE9DB" w14:textId="77777777"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 xml:space="preserve">Складова сукупних активів та позабалансових зобов’язань. </w:t>
            </w:r>
          </w:p>
          <w:p w14:paraId="65E6853D" w14:textId="0DD2A26D" w:rsidR="00C830E1" w:rsidRPr="00877E5A"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79269E6" w14:textId="6424A364" w:rsidR="00C830E1" w:rsidRPr="00877E5A" w:rsidRDefault="00C830E1" w:rsidP="00C830E1">
            <w:pPr>
              <w:jc w:val="center"/>
              <w:rPr>
                <w:rFonts w:ascii="Times New Roman" w:eastAsia="Times New Roman" w:hAnsi="Times New Roman" w:cs="Times New Roman"/>
                <w:bCs/>
                <w:sz w:val="24"/>
                <w:szCs w:val="24"/>
                <w:lang w:eastAsia="uk-UA"/>
              </w:rPr>
            </w:pPr>
            <w:r w:rsidRPr="00877E5A">
              <w:rPr>
                <w:rFonts w:ascii="Times New Roman" w:eastAsia="Times New Roman" w:hAnsi="Times New Roman" w:cs="Times New Roman"/>
                <w:bCs/>
                <w:sz w:val="24"/>
                <w:szCs w:val="24"/>
                <w:lang w:eastAsia="uk-UA"/>
              </w:rPr>
              <w:t>A6</w:t>
            </w:r>
            <w:r w:rsidRPr="00877E5A">
              <w:rPr>
                <w:rFonts w:ascii="Times New Roman" w:eastAsia="Times New Roman" w:hAnsi="Times New Roman" w:cs="Times New Roman"/>
                <w:bCs/>
                <w:sz w:val="24"/>
                <w:szCs w:val="24"/>
                <w:lang w:val="en-US" w:eastAsia="uk-UA"/>
              </w:rPr>
              <w:t>J</w:t>
            </w:r>
            <w:r w:rsidRPr="00877E5A">
              <w:rPr>
                <w:rFonts w:ascii="Times New Roman" w:eastAsia="Times New Roman" w:hAnsi="Times New Roman" w:cs="Times New Roman"/>
                <w:bCs/>
                <w:sz w:val="24"/>
                <w:szCs w:val="24"/>
                <w:lang w:eastAsia="uk-UA"/>
              </w:rPr>
              <w:t>024</w:t>
            </w:r>
          </w:p>
        </w:tc>
        <w:tc>
          <w:tcPr>
            <w:tcW w:w="6237" w:type="dxa"/>
            <w:shd w:val="clear" w:color="auto" w:fill="auto"/>
          </w:tcPr>
          <w:p w14:paraId="3E6636B2" w14:textId="737CD71B" w:rsidR="00C830E1" w:rsidRPr="00D501C8" w:rsidRDefault="00C830E1" w:rsidP="00C830E1">
            <w:pPr>
              <w:jc w:val="both"/>
              <w:rPr>
                <w:rFonts w:ascii="Times New Roman" w:hAnsi="Times New Roman" w:cs="Times New Roman"/>
                <w:b/>
                <w:sz w:val="24"/>
                <w:szCs w:val="24"/>
                <w:lang w:eastAsia="uk-UA"/>
              </w:rPr>
            </w:pPr>
            <w:r w:rsidRPr="00D501C8">
              <w:rPr>
                <w:rFonts w:ascii="Times New Roman" w:hAnsi="Times New Roman" w:cs="Times New Roman"/>
                <w:b/>
                <w:sz w:val="24"/>
                <w:szCs w:val="24"/>
                <w:lang w:eastAsia="uk-UA"/>
              </w:rPr>
              <w:t>Розмір балансової вартості активів за операціями репо / зворотного репо</w:t>
            </w:r>
            <w:r w:rsidRPr="00D501C8">
              <w:rPr>
                <w:rFonts w:ascii="Times New Roman" w:hAnsi="Times New Roman" w:cs="Times New Roman"/>
                <w:sz w:val="24"/>
                <w:szCs w:val="24"/>
                <w:lang w:eastAsia="uk-UA"/>
              </w:rPr>
              <w:t xml:space="preserve"> </w:t>
            </w:r>
            <w:r w:rsidRPr="00D501C8">
              <w:rPr>
                <w:rFonts w:ascii="Times New Roman" w:hAnsi="Times New Roman" w:cs="Times New Roman"/>
                <w:b/>
                <w:sz w:val="24"/>
                <w:szCs w:val="24"/>
                <w:lang w:eastAsia="uk-UA"/>
              </w:rPr>
              <w:t>за агентськими договорами, які передбачають гарантію / відшкодування одному контрагенту</w:t>
            </w:r>
          </w:p>
          <w:p w14:paraId="26F5763F" w14:textId="6359FC7A" w:rsidR="00C830E1" w:rsidRPr="00D501C8" w:rsidRDefault="00C830E1" w:rsidP="00C830E1">
            <w:pPr>
              <w:jc w:val="both"/>
              <w:rPr>
                <w:rFonts w:ascii="Times New Roman" w:hAnsi="Times New Roman" w:cs="Times New Roman"/>
                <w:b/>
                <w:sz w:val="24"/>
                <w:szCs w:val="24"/>
                <w:lang w:eastAsia="uk-UA"/>
              </w:rPr>
            </w:pPr>
            <w:r w:rsidRPr="00D501C8">
              <w:rPr>
                <w:rFonts w:ascii="Times New Roman" w:eastAsia="Times New Roman" w:hAnsi="Times New Roman" w:cs="Times New Roman"/>
                <w:sz w:val="24"/>
                <w:szCs w:val="24"/>
                <w:lang w:eastAsia="uk-UA"/>
              </w:rPr>
              <w:t xml:space="preserve">1. 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балансової вартості активів за операціями репо / зворотного репо у разі надання банком послуг агента за операцією репо / зворотного репо, що здійснюється між двома контрагентами, які</w:t>
            </w:r>
            <w:r w:rsidR="00D4563A" w:rsidRPr="00D501C8">
              <w:rPr>
                <w:rFonts w:ascii="Times New Roman" w:hAnsi="Times New Roman" w:cs="Times New Roman"/>
                <w:sz w:val="24"/>
                <w:szCs w:val="24"/>
                <w:lang w:eastAsia="uk-UA"/>
              </w:rPr>
              <w:t xml:space="preserve"> включаю</w:t>
            </w:r>
            <w:r w:rsidRPr="00D501C8">
              <w:rPr>
                <w:rFonts w:ascii="Times New Roman" w:hAnsi="Times New Roman" w:cs="Times New Roman"/>
                <w:sz w:val="24"/>
                <w:szCs w:val="24"/>
                <w:lang w:eastAsia="uk-UA"/>
              </w:rPr>
              <w:t xml:space="preserve">ться до розрахунку сукупних активів та позабалансових зобов’язань згідно з абзацом третім підпункту 2 пункту 41 </w:t>
            </w:r>
            <w:r w:rsidRPr="00D501C8">
              <w:rPr>
                <w:rFonts w:ascii="Times New Roman" w:eastAsia="Times New Roman" w:hAnsi="Times New Roman" w:cs="Times New Roman"/>
                <w:sz w:val="24"/>
                <w:szCs w:val="24"/>
                <w:lang w:eastAsia="uk-UA"/>
              </w:rPr>
              <w:t xml:space="preserve">розділу </w:t>
            </w:r>
            <w:r w:rsidRPr="00D501C8">
              <w:rPr>
                <w:rFonts w:ascii="Times New Roman" w:eastAsia="Times New Roman" w:hAnsi="Times New Roman" w:cs="Times New Roman"/>
                <w:sz w:val="24"/>
                <w:szCs w:val="24"/>
                <w:lang w:val="en-US" w:eastAsia="uk-UA"/>
              </w:rPr>
              <w:t>IV</w:t>
            </w:r>
            <w:r w:rsidRPr="00D501C8">
              <w:rPr>
                <w:rFonts w:ascii="Times New Roman" w:eastAsia="Times New Roman" w:hAnsi="Times New Roman" w:cs="Times New Roman"/>
                <w:sz w:val="24"/>
                <w:szCs w:val="24"/>
                <w:lang w:eastAsia="uk-UA"/>
              </w:rPr>
              <w:t xml:space="preserve"> Положення № 89.</w:t>
            </w:r>
          </w:p>
        </w:tc>
      </w:tr>
      <w:tr w:rsidR="00C830E1" w:rsidRPr="00877E5A" w14:paraId="18B84709" w14:textId="77777777" w:rsidTr="00920CCC">
        <w:tc>
          <w:tcPr>
            <w:tcW w:w="567" w:type="dxa"/>
            <w:tcBorders>
              <w:top w:val="single" w:sz="4" w:space="0" w:color="auto"/>
            </w:tcBorders>
            <w:shd w:val="clear" w:color="auto" w:fill="auto"/>
          </w:tcPr>
          <w:p w14:paraId="40FB5578" w14:textId="53088EDC"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25</w:t>
            </w:r>
          </w:p>
        </w:tc>
        <w:tc>
          <w:tcPr>
            <w:tcW w:w="2668" w:type="dxa"/>
            <w:shd w:val="clear" w:color="auto" w:fill="auto"/>
          </w:tcPr>
          <w:p w14:paraId="5662258D" w14:textId="77777777" w:rsidR="00C830E1" w:rsidRPr="00877E5A" w:rsidRDefault="00C830E1" w:rsidP="00C830E1">
            <w:pPr>
              <w:jc w:val="center"/>
              <w:rPr>
                <w:rFonts w:ascii="Times New Roman" w:hAnsi="Times New Roman" w:cs="Times New Roman"/>
                <w:sz w:val="24"/>
                <w:szCs w:val="24"/>
                <w:lang w:eastAsia="uk-UA"/>
              </w:rPr>
            </w:pPr>
            <w:r w:rsidRPr="00877E5A">
              <w:rPr>
                <w:rFonts w:ascii="Times New Roman" w:hAnsi="Times New Roman" w:cs="Times New Roman"/>
                <w:sz w:val="24"/>
                <w:szCs w:val="24"/>
                <w:lang w:eastAsia="uk-UA"/>
              </w:rPr>
              <w:t xml:space="preserve">Складова сукупних активів та позабалансових зобов’язань. </w:t>
            </w:r>
          </w:p>
          <w:p w14:paraId="050ABD8E" w14:textId="37E60174" w:rsidR="00C830E1" w:rsidRPr="00877E5A"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816A5B7" w14:textId="57006379" w:rsidR="00C830E1" w:rsidRPr="00877E5A" w:rsidRDefault="00C830E1" w:rsidP="00C830E1">
            <w:pPr>
              <w:jc w:val="center"/>
              <w:rPr>
                <w:rFonts w:ascii="Times New Roman" w:eastAsia="Times New Roman" w:hAnsi="Times New Roman" w:cs="Times New Roman"/>
                <w:bCs/>
                <w:sz w:val="24"/>
                <w:szCs w:val="24"/>
                <w:lang w:eastAsia="uk-UA"/>
              </w:rPr>
            </w:pPr>
            <w:r w:rsidRPr="00877E5A">
              <w:rPr>
                <w:rFonts w:ascii="Times New Roman" w:eastAsia="Times New Roman" w:hAnsi="Times New Roman" w:cs="Times New Roman"/>
                <w:bCs/>
                <w:sz w:val="24"/>
                <w:szCs w:val="24"/>
                <w:lang w:eastAsia="uk-UA"/>
              </w:rPr>
              <w:t>A6</w:t>
            </w:r>
            <w:r w:rsidRPr="00877E5A">
              <w:rPr>
                <w:rFonts w:ascii="Times New Roman" w:eastAsia="Times New Roman" w:hAnsi="Times New Roman" w:cs="Times New Roman"/>
                <w:bCs/>
                <w:sz w:val="24"/>
                <w:szCs w:val="24"/>
                <w:lang w:val="en-US" w:eastAsia="uk-UA"/>
              </w:rPr>
              <w:t>J</w:t>
            </w:r>
            <w:r w:rsidRPr="00877E5A">
              <w:rPr>
                <w:rFonts w:ascii="Times New Roman" w:eastAsia="Times New Roman" w:hAnsi="Times New Roman" w:cs="Times New Roman"/>
                <w:bCs/>
                <w:sz w:val="24"/>
                <w:szCs w:val="24"/>
                <w:lang w:eastAsia="uk-UA"/>
              </w:rPr>
              <w:t>025</w:t>
            </w:r>
          </w:p>
        </w:tc>
        <w:tc>
          <w:tcPr>
            <w:tcW w:w="6237" w:type="dxa"/>
            <w:shd w:val="clear" w:color="auto" w:fill="auto"/>
          </w:tcPr>
          <w:p w14:paraId="17E7AAC8" w14:textId="43BDE12F" w:rsidR="00C830E1" w:rsidRPr="00D501C8" w:rsidRDefault="00C830E1" w:rsidP="00C830E1">
            <w:pPr>
              <w:jc w:val="both"/>
              <w:rPr>
                <w:rFonts w:ascii="Times New Roman" w:hAnsi="Times New Roman" w:cs="Times New Roman"/>
                <w:b/>
                <w:sz w:val="24"/>
                <w:szCs w:val="24"/>
                <w:lang w:eastAsia="uk-UA"/>
              </w:rPr>
            </w:pPr>
            <w:r w:rsidRPr="00D501C8">
              <w:rPr>
                <w:rFonts w:ascii="Times New Roman" w:hAnsi="Times New Roman" w:cs="Times New Roman"/>
                <w:b/>
                <w:sz w:val="24"/>
                <w:szCs w:val="24"/>
                <w:lang w:eastAsia="uk-UA"/>
              </w:rPr>
              <w:t>Розмір балансової вартості активів за операціями репо / зворотного репо</w:t>
            </w:r>
            <w:r w:rsidRPr="00D501C8">
              <w:rPr>
                <w:rFonts w:ascii="Times New Roman" w:hAnsi="Times New Roman" w:cs="Times New Roman"/>
                <w:sz w:val="24"/>
                <w:szCs w:val="24"/>
                <w:lang w:eastAsia="uk-UA"/>
              </w:rPr>
              <w:t xml:space="preserve"> </w:t>
            </w:r>
            <w:r w:rsidRPr="00D501C8">
              <w:rPr>
                <w:rFonts w:ascii="Times New Roman" w:hAnsi="Times New Roman" w:cs="Times New Roman"/>
                <w:b/>
                <w:sz w:val="24"/>
                <w:szCs w:val="24"/>
                <w:lang w:eastAsia="uk-UA"/>
              </w:rPr>
              <w:t>за агентськими договорами, які передбачають гарантію / відшкодування обом контрагентам</w:t>
            </w:r>
          </w:p>
          <w:p w14:paraId="67E008A3" w14:textId="10CACBEE"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 xml:space="preserve">1. 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балансової вартості активів за операціями репо / зворотного репо у разі надання банком послуг агента за операцією репо / зворотного репо, що здійснюється між </w:t>
            </w:r>
            <w:r w:rsidRPr="00D501C8">
              <w:rPr>
                <w:rFonts w:ascii="Times New Roman" w:hAnsi="Times New Roman" w:cs="Times New Roman"/>
                <w:sz w:val="24"/>
                <w:szCs w:val="24"/>
                <w:lang w:eastAsia="uk-UA"/>
              </w:rPr>
              <w:lastRenderedPageBreak/>
              <w:t>двома контрагентами, які</w:t>
            </w:r>
            <w:r w:rsidR="00D4563A" w:rsidRPr="00D501C8">
              <w:rPr>
                <w:rFonts w:ascii="Times New Roman" w:hAnsi="Times New Roman" w:cs="Times New Roman"/>
                <w:sz w:val="24"/>
                <w:szCs w:val="24"/>
                <w:lang w:eastAsia="uk-UA"/>
              </w:rPr>
              <w:t xml:space="preserve"> включаю</w:t>
            </w:r>
            <w:r w:rsidRPr="00D501C8">
              <w:rPr>
                <w:rFonts w:ascii="Times New Roman" w:hAnsi="Times New Roman" w:cs="Times New Roman"/>
                <w:sz w:val="24"/>
                <w:szCs w:val="24"/>
                <w:lang w:eastAsia="uk-UA"/>
              </w:rPr>
              <w:t xml:space="preserve">ться до розрахунку сукупних активів та позабалансових зобов’язань згідно з абзацом третім підпункту 3 пункту 41 </w:t>
            </w:r>
            <w:r w:rsidRPr="00D501C8">
              <w:rPr>
                <w:rFonts w:ascii="Times New Roman" w:eastAsia="Times New Roman" w:hAnsi="Times New Roman" w:cs="Times New Roman"/>
                <w:sz w:val="24"/>
                <w:szCs w:val="24"/>
                <w:lang w:eastAsia="uk-UA"/>
              </w:rPr>
              <w:t xml:space="preserve">розділу </w:t>
            </w:r>
            <w:r w:rsidRPr="00D501C8">
              <w:rPr>
                <w:rFonts w:ascii="Times New Roman" w:eastAsia="Times New Roman" w:hAnsi="Times New Roman" w:cs="Times New Roman"/>
                <w:sz w:val="24"/>
                <w:szCs w:val="24"/>
                <w:lang w:val="en-US" w:eastAsia="uk-UA"/>
              </w:rPr>
              <w:t>IV</w:t>
            </w:r>
            <w:r w:rsidRPr="00D501C8">
              <w:rPr>
                <w:rFonts w:ascii="Times New Roman" w:eastAsia="Times New Roman" w:hAnsi="Times New Roman" w:cs="Times New Roman"/>
                <w:sz w:val="24"/>
                <w:szCs w:val="24"/>
                <w:lang w:eastAsia="uk-UA"/>
              </w:rPr>
              <w:t xml:space="preserve"> Положення № 89.</w:t>
            </w:r>
          </w:p>
        </w:tc>
      </w:tr>
      <w:tr w:rsidR="00C830E1" w:rsidRPr="0059112B" w14:paraId="2D24887C" w14:textId="77777777" w:rsidTr="00920CCC">
        <w:tc>
          <w:tcPr>
            <w:tcW w:w="567" w:type="dxa"/>
            <w:tcBorders>
              <w:top w:val="single" w:sz="4" w:space="0" w:color="auto"/>
            </w:tcBorders>
            <w:shd w:val="clear" w:color="auto" w:fill="auto"/>
          </w:tcPr>
          <w:p w14:paraId="2FCD8797" w14:textId="7F05236D"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lastRenderedPageBreak/>
              <w:t>26</w:t>
            </w:r>
          </w:p>
        </w:tc>
        <w:tc>
          <w:tcPr>
            <w:tcW w:w="2668" w:type="dxa"/>
            <w:shd w:val="clear" w:color="auto" w:fill="auto"/>
          </w:tcPr>
          <w:p w14:paraId="60BB22E1"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7AD785D7" w14:textId="06360B4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39368F14" w14:textId="265FB0A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026</w:t>
            </w:r>
          </w:p>
        </w:tc>
        <w:tc>
          <w:tcPr>
            <w:tcW w:w="6237" w:type="dxa"/>
            <w:shd w:val="clear" w:color="auto" w:fill="auto"/>
          </w:tcPr>
          <w:p w14:paraId="2C5B931B" w14:textId="39705F4D" w:rsidR="00C830E1" w:rsidRPr="0059112B" w:rsidRDefault="00C830E1" w:rsidP="00C830E1">
            <w:pPr>
              <w:jc w:val="both"/>
              <w:rPr>
                <w:rFonts w:ascii="Times New Roman" w:eastAsia="Times New Roman" w:hAnsi="Times New Roman" w:cs="Times New Roman"/>
                <w:b/>
                <w:sz w:val="24"/>
                <w:szCs w:val="24"/>
                <w:lang w:eastAsia="uk-UA"/>
              </w:rPr>
            </w:pPr>
            <w:r w:rsidRPr="0059112B">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0,1</w:t>
            </w:r>
          </w:p>
          <w:p w14:paraId="0548CC1F" w14:textId="7D8859B4" w:rsidR="00C830E1" w:rsidRDefault="00C830E1" w:rsidP="00C830E1">
            <w:pPr>
              <w:jc w:val="both"/>
              <w:rPr>
                <w:rFonts w:ascii="Times New Roman" w:hAnsi="Times New Roman" w:cs="Times New Roman"/>
                <w:sz w:val="24"/>
                <w:szCs w:val="24"/>
                <w:lang w:eastAsia="uk-UA"/>
              </w:rPr>
            </w:pPr>
            <w:r w:rsidRPr="0059112B">
              <w:rPr>
                <w:rFonts w:ascii="Times New Roman" w:eastAsia="Times New Roman" w:hAnsi="Times New Roman" w:cs="Times New Roman"/>
                <w:sz w:val="24"/>
                <w:szCs w:val="24"/>
                <w:lang w:eastAsia="uk-UA"/>
              </w:rPr>
              <w:t>1.</w:t>
            </w:r>
            <w:r w:rsidRPr="0059112B">
              <w:rPr>
                <w:rFonts w:ascii="Times New Roman" w:eastAsia="Times New Roman" w:hAnsi="Times New Roman" w:cs="Times New Roman"/>
                <w:b/>
                <w:sz w:val="24"/>
                <w:szCs w:val="24"/>
                <w:lang w:eastAsia="uk-UA"/>
              </w:rPr>
              <w:t xml:space="preserve"> </w:t>
            </w:r>
            <w:r w:rsidRPr="00944F72">
              <w:rPr>
                <w:rFonts w:ascii="Times New Roman" w:eastAsia="Times New Roman" w:hAnsi="Times New Roman" w:cs="Times New Roman"/>
                <w:sz w:val="24"/>
                <w:szCs w:val="24"/>
                <w:lang w:eastAsia="uk-UA"/>
              </w:rPr>
              <w:t xml:space="preserve">Сума за складовою </w:t>
            </w:r>
            <w:r w:rsidRPr="00944F72">
              <w:rPr>
                <w:rFonts w:ascii="Times New Roman" w:hAnsi="Times New Roman" w:cs="Times New Roman"/>
                <w:sz w:val="24"/>
                <w:szCs w:val="24"/>
                <w:lang w:eastAsia="uk-UA"/>
              </w:rPr>
              <w:t>сукупних активів та позабалансових зобов’язань – </w:t>
            </w:r>
            <w:r w:rsidRPr="0099109D">
              <w:rPr>
                <w:rFonts w:ascii="Times New Roman" w:hAnsi="Times New Roman" w:cs="Times New Roman"/>
                <w:sz w:val="24"/>
                <w:szCs w:val="24"/>
                <w:lang w:eastAsia="uk-UA"/>
              </w:rPr>
              <w:t>сукупний розмір фінансових зобов’язань (крім деривативів),</w:t>
            </w:r>
            <w:r w:rsidR="006A53A2" w:rsidRPr="0099109D">
              <w:rPr>
                <w:rFonts w:ascii="Times New Roman" w:hAnsi="Times New Roman" w:cs="Times New Roman"/>
                <w:sz w:val="24"/>
                <w:szCs w:val="24"/>
                <w:lang w:eastAsia="uk-UA"/>
              </w:rPr>
              <w:t xml:space="preserve"> які</w:t>
            </w:r>
            <w:r w:rsidR="00857C4D" w:rsidRPr="0099109D">
              <w:rPr>
                <w:rFonts w:ascii="Times New Roman" w:hAnsi="Times New Roman" w:cs="Times New Roman"/>
                <w:sz w:val="24"/>
                <w:szCs w:val="24"/>
                <w:lang w:eastAsia="uk-UA"/>
              </w:rPr>
              <w:t xml:space="preserve"> </w:t>
            </w:r>
            <w:r w:rsidR="006A53A2" w:rsidRPr="0099109D">
              <w:rPr>
                <w:rFonts w:ascii="Times New Roman" w:hAnsi="Times New Roman" w:cs="Times New Roman"/>
                <w:sz w:val="24"/>
                <w:szCs w:val="24"/>
                <w:lang w:eastAsia="uk-UA"/>
              </w:rPr>
              <w:t>включаються до</w:t>
            </w:r>
            <w:r w:rsidR="00965364" w:rsidRPr="0099109D">
              <w:rPr>
                <w:rFonts w:ascii="Times New Roman" w:hAnsi="Times New Roman" w:cs="Times New Roman"/>
                <w:sz w:val="24"/>
                <w:szCs w:val="24"/>
                <w:lang w:eastAsia="uk-UA"/>
              </w:rPr>
              <w:t xml:space="preserve"> сукупного розміру експозицій за позабалансовими зобов’язаннями</w:t>
            </w:r>
            <w:r w:rsidR="006A081A" w:rsidRPr="0099109D">
              <w:rPr>
                <w:rFonts w:ascii="Times New Roman" w:hAnsi="Times New Roman" w:cs="Times New Roman"/>
                <w:sz w:val="24"/>
                <w:szCs w:val="24"/>
                <w:lang w:eastAsia="uk-UA"/>
              </w:rPr>
              <w:t xml:space="preserve"> згідно з підпунктом</w:t>
            </w:r>
            <w:r w:rsidR="004738DD" w:rsidRPr="0099109D">
              <w:rPr>
                <w:rFonts w:ascii="Times New Roman" w:hAnsi="Times New Roman" w:cs="Times New Roman"/>
                <w:sz w:val="24"/>
                <w:szCs w:val="24"/>
                <w:lang w:eastAsia="uk-UA"/>
              </w:rPr>
              <w:t xml:space="preserve"> 1 пункту 42</w:t>
            </w:r>
            <w:r w:rsidR="006A081A" w:rsidRPr="0099109D">
              <w:rPr>
                <w:rFonts w:ascii="Times New Roman" w:hAnsi="Times New Roman" w:cs="Times New Roman"/>
                <w:sz w:val="24"/>
                <w:szCs w:val="24"/>
                <w:lang w:eastAsia="uk-UA"/>
              </w:rPr>
              <w:t xml:space="preserve"> розділу </w:t>
            </w:r>
            <w:r w:rsidR="006A081A" w:rsidRPr="0099109D">
              <w:rPr>
                <w:rFonts w:ascii="Times New Roman" w:hAnsi="Times New Roman" w:cs="Times New Roman"/>
                <w:sz w:val="24"/>
                <w:szCs w:val="24"/>
                <w:lang w:val="en-US" w:eastAsia="uk-UA"/>
              </w:rPr>
              <w:t>V</w:t>
            </w:r>
            <w:r w:rsidR="006A081A" w:rsidRPr="0099109D">
              <w:rPr>
                <w:rFonts w:ascii="Times New Roman" w:hAnsi="Times New Roman" w:cs="Times New Roman"/>
                <w:sz w:val="24"/>
                <w:szCs w:val="24"/>
                <w:lang w:eastAsia="uk-UA"/>
              </w:rPr>
              <w:t xml:space="preserve"> Положення № 89</w:t>
            </w:r>
            <w:r w:rsidR="004738DD" w:rsidRPr="0099109D">
              <w:rPr>
                <w:rFonts w:ascii="Times New Roman" w:hAnsi="Times New Roman" w:cs="Times New Roman"/>
                <w:sz w:val="24"/>
                <w:szCs w:val="24"/>
                <w:lang w:eastAsia="uk-UA"/>
              </w:rPr>
              <w:t>,</w:t>
            </w:r>
            <w:r w:rsidR="006A081A" w:rsidRPr="0099109D">
              <w:rPr>
                <w:rFonts w:ascii="Times New Roman" w:hAnsi="Times New Roman" w:cs="Times New Roman"/>
                <w:sz w:val="24"/>
                <w:szCs w:val="24"/>
                <w:lang w:eastAsia="uk-UA"/>
              </w:rPr>
              <w:t xml:space="preserve"> </w:t>
            </w:r>
            <w:r w:rsidR="006A53A2" w:rsidRPr="0099109D">
              <w:rPr>
                <w:rFonts w:ascii="Times New Roman" w:hAnsi="Times New Roman" w:cs="Times New Roman"/>
                <w:sz w:val="24"/>
                <w:szCs w:val="24"/>
                <w:lang w:eastAsia="uk-UA"/>
              </w:rPr>
              <w:t xml:space="preserve"> </w:t>
            </w:r>
            <w:r w:rsidRPr="0099109D">
              <w:rPr>
                <w:rFonts w:ascii="Times New Roman" w:hAnsi="Times New Roman" w:cs="Times New Roman"/>
                <w:sz w:val="24"/>
                <w:szCs w:val="24"/>
                <w:lang w:eastAsia="uk-UA"/>
              </w:rPr>
              <w:t>з урахуванням R020(GR900)/T020(1), R020(GR910)/T020(1), R020(GR912)/T020(1), R020(9200)/T020</w:t>
            </w:r>
            <w:r w:rsidRPr="00944F72">
              <w:rPr>
                <w:rFonts w:ascii="Times New Roman" w:hAnsi="Times New Roman" w:cs="Times New Roman"/>
                <w:sz w:val="24"/>
                <w:szCs w:val="24"/>
                <w:lang w:eastAsia="uk-UA"/>
              </w:rPr>
              <w:t>(1), R020(GR930</w:t>
            </w:r>
            <w:r w:rsidR="00034E27">
              <w:rPr>
                <w:rFonts w:ascii="Times New Roman" w:hAnsi="Times New Roman" w:cs="Times New Roman"/>
                <w:sz w:val="24"/>
                <w:szCs w:val="24"/>
                <w:lang w:eastAsia="uk-UA"/>
              </w:rPr>
              <w:t>)/T020(1),  R020(9350)/T020(1),</w:t>
            </w:r>
            <w:r w:rsidR="00034E27" w:rsidRPr="00034E27">
              <w:rPr>
                <w:rFonts w:ascii="Times New Roman" w:hAnsi="Times New Roman" w:cs="Times New Roman"/>
                <w:sz w:val="24"/>
                <w:szCs w:val="24"/>
                <w:lang w:eastAsia="uk-UA"/>
              </w:rPr>
              <w:t xml:space="preserve"> </w:t>
            </w:r>
            <w:r w:rsidR="00034E27">
              <w:rPr>
                <w:rFonts w:ascii="Times New Roman" w:hAnsi="Times New Roman" w:cs="Times New Roman"/>
                <w:sz w:val="24"/>
                <w:szCs w:val="24"/>
                <w:lang w:eastAsia="uk-UA"/>
              </w:rPr>
              <w:t xml:space="preserve">R020(3690)/T020(2), </w:t>
            </w:r>
            <w:r w:rsidRPr="00944F72">
              <w:rPr>
                <w:rFonts w:ascii="Times New Roman" w:hAnsi="Times New Roman" w:cs="Times New Roman"/>
                <w:sz w:val="24"/>
                <w:szCs w:val="24"/>
                <w:lang w:eastAsia="uk-UA"/>
              </w:rPr>
              <w:t>R020(3692)/T020(2).</w:t>
            </w:r>
          </w:p>
          <w:p w14:paraId="7D1BC369" w14:textId="130F3073" w:rsidR="00C830E1" w:rsidRPr="000F60C5" w:rsidRDefault="000901AF" w:rsidP="00C830E1">
            <w:pPr>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Розмір </w:t>
            </w:r>
            <w:r w:rsidRPr="00D501C8">
              <w:rPr>
                <w:rFonts w:ascii="Times New Roman" w:hAnsi="Times New Roman" w:cs="Times New Roman"/>
                <w:sz w:val="24"/>
                <w:szCs w:val="24"/>
                <w:lang w:eastAsia="uk-UA"/>
              </w:rPr>
              <w:t>фінансового зобов’язання визначається</w:t>
            </w:r>
            <w:r w:rsidR="00F9383B" w:rsidRPr="00D501C8">
              <w:rPr>
                <w:rFonts w:ascii="Times New Roman" w:hAnsi="Times New Roman" w:cs="Times New Roman"/>
                <w:sz w:val="24"/>
                <w:szCs w:val="24"/>
                <w:lang w:eastAsia="uk-UA"/>
              </w:rPr>
              <w:t xml:space="preserve"> згідно з підпунктом 1 пункту 43 розділу </w:t>
            </w:r>
            <w:r w:rsidR="00F9383B" w:rsidRPr="00D501C8">
              <w:rPr>
                <w:rFonts w:ascii="Times New Roman" w:hAnsi="Times New Roman" w:cs="Times New Roman"/>
                <w:sz w:val="24"/>
                <w:szCs w:val="24"/>
                <w:lang w:val="en-US" w:eastAsia="uk-UA"/>
              </w:rPr>
              <w:t>V</w:t>
            </w:r>
            <w:r w:rsidR="00F9383B"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0,1.</w:t>
            </w:r>
          </w:p>
        </w:tc>
      </w:tr>
      <w:tr w:rsidR="00C830E1" w:rsidRPr="0059112B" w14:paraId="3106C7CB" w14:textId="77777777" w:rsidTr="00920CCC">
        <w:tc>
          <w:tcPr>
            <w:tcW w:w="567" w:type="dxa"/>
            <w:tcBorders>
              <w:top w:val="single" w:sz="4" w:space="0" w:color="auto"/>
              <w:bottom w:val="single" w:sz="4" w:space="0" w:color="auto"/>
            </w:tcBorders>
            <w:shd w:val="clear" w:color="auto" w:fill="auto"/>
          </w:tcPr>
          <w:p w14:paraId="12AE8692" w14:textId="50FBC15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27</w:t>
            </w:r>
          </w:p>
        </w:tc>
        <w:tc>
          <w:tcPr>
            <w:tcW w:w="2668" w:type="dxa"/>
            <w:shd w:val="clear" w:color="auto" w:fill="auto"/>
          </w:tcPr>
          <w:p w14:paraId="33FB9513"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4C6D4849" w14:textId="5C7B8449"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зобов’язаннями (крім деривативів)</w:t>
            </w:r>
          </w:p>
        </w:tc>
        <w:tc>
          <w:tcPr>
            <w:tcW w:w="1019" w:type="dxa"/>
            <w:shd w:val="clear" w:color="auto" w:fill="auto"/>
          </w:tcPr>
          <w:p w14:paraId="177AE9AB" w14:textId="6F7A921E"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027</w:t>
            </w:r>
          </w:p>
        </w:tc>
        <w:tc>
          <w:tcPr>
            <w:tcW w:w="6237" w:type="dxa"/>
            <w:shd w:val="clear" w:color="auto" w:fill="auto"/>
          </w:tcPr>
          <w:p w14:paraId="7882235A" w14:textId="54F80E8C"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0,2</w:t>
            </w:r>
          </w:p>
          <w:p w14:paraId="6630B149" w14:textId="66BB5BB2"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сукупних активів та позабалансових зобов’язань – сукупний розмір фінансових зобов’язань (крім деривативів),</w:t>
            </w:r>
            <w:r w:rsidR="00DB7D81" w:rsidRPr="00D501C8">
              <w:rPr>
                <w:rFonts w:ascii="Times New Roman" w:hAnsi="Times New Roman" w:cs="Times New Roman"/>
                <w:sz w:val="24"/>
                <w:szCs w:val="24"/>
                <w:lang w:eastAsia="uk-UA"/>
              </w:rPr>
              <w:t xml:space="preserve"> які включаються до сукупного розміру експозицій за позабалансовими зобов’язаннями</w:t>
            </w:r>
            <w:r w:rsidR="004738DD" w:rsidRPr="00D501C8">
              <w:rPr>
                <w:rFonts w:ascii="Times New Roman" w:hAnsi="Times New Roman" w:cs="Times New Roman"/>
                <w:sz w:val="24"/>
                <w:szCs w:val="24"/>
                <w:lang w:eastAsia="uk-UA"/>
              </w:rPr>
              <w:t xml:space="preserve"> згідно з підпунктом 1 пункту 42 розділу </w:t>
            </w:r>
            <w:r w:rsidR="004738DD" w:rsidRPr="00D501C8">
              <w:rPr>
                <w:rFonts w:ascii="Times New Roman" w:hAnsi="Times New Roman" w:cs="Times New Roman"/>
                <w:sz w:val="24"/>
                <w:szCs w:val="24"/>
                <w:lang w:val="en-US" w:eastAsia="uk-UA"/>
              </w:rPr>
              <w:t>V</w:t>
            </w:r>
            <w:r w:rsidR="004738DD" w:rsidRPr="00D501C8">
              <w:rPr>
                <w:rFonts w:ascii="Times New Roman" w:hAnsi="Times New Roman" w:cs="Times New Roman"/>
                <w:sz w:val="24"/>
                <w:szCs w:val="24"/>
                <w:lang w:eastAsia="uk-UA"/>
              </w:rPr>
              <w:t xml:space="preserve"> Положення № 89</w:t>
            </w:r>
            <w:r w:rsidR="00E40498" w:rsidRPr="00D501C8">
              <w:rPr>
                <w:rFonts w:ascii="Times New Roman" w:hAnsi="Times New Roman" w:cs="Times New Roman"/>
                <w:sz w:val="24"/>
                <w:szCs w:val="24"/>
                <w:lang w:eastAsia="uk-UA"/>
              </w:rPr>
              <w:t>,</w:t>
            </w:r>
            <w:r w:rsidR="00DB7D81"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61631418" w14:textId="1F69DB97" w:rsidR="00C830E1" w:rsidRPr="00D501C8" w:rsidRDefault="00DB7D81"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w:t>
            </w:r>
            <w:r w:rsidR="00A44B4B" w:rsidRPr="00D501C8">
              <w:rPr>
                <w:rFonts w:ascii="Times New Roman" w:hAnsi="Times New Roman" w:cs="Times New Roman"/>
                <w:sz w:val="24"/>
                <w:szCs w:val="24"/>
                <w:lang w:eastAsia="uk-UA"/>
              </w:rPr>
              <w:t>фіцієнта кредитної конверсії 0,2</w:t>
            </w:r>
            <w:r w:rsidRPr="00D501C8">
              <w:rPr>
                <w:rFonts w:ascii="Times New Roman" w:hAnsi="Times New Roman" w:cs="Times New Roman"/>
                <w:sz w:val="24"/>
                <w:szCs w:val="24"/>
                <w:lang w:eastAsia="uk-UA"/>
              </w:rPr>
              <w:t>.</w:t>
            </w:r>
          </w:p>
        </w:tc>
      </w:tr>
      <w:tr w:rsidR="00C830E1" w:rsidRPr="0059112B" w14:paraId="7989CD11" w14:textId="77777777" w:rsidTr="00920CCC">
        <w:tc>
          <w:tcPr>
            <w:tcW w:w="567" w:type="dxa"/>
            <w:tcBorders>
              <w:top w:val="single" w:sz="4" w:space="0" w:color="auto"/>
              <w:bottom w:val="single" w:sz="4" w:space="0" w:color="auto"/>
            </w:tcBorders>
            <w:shd w:val="clear" w:color="auto" w:fill="auto"/>
          </w:tcPr>
          <w:p w14:paraId="0F3B7CF0" w14:textId="3CEAA840"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28</w:t>
            </w:r>
          </w:p>
        </w:tc>
        <w:tc>
          <w:tcPr>
            <w:tcW w:w="2668" w:type="dxa"/>
            <w:shd w:val="clear" w:color="auto" w:fill="auto"/>
          </w:tcPr>
          <w:p w14:paraId="04CCAA19"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1C52447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p w14:paraId="2CFC59D3" w14:textId="77777777" w:rsidR="00C830E1" w:rsidRPr="0059112B" w:rsidRDefault="00C830E1" w:rsidP="00C830E1">
            <w:pPr>
              <w:jc w:val="center"/>
              <w:rPr>
                <w:rFonts w:ascii="Times New Roman" w:hAnsi="Times New Roman" w:cs="Times New Roman"/>
                <w:sz w:val="24"/>
                <w:szCs w:val="24"/>
                <w:lang w:eastAsia="uk-UA"/>
              </w:rPr>
            </w:pPr>
          </w:p>
          <w:p w14:paraId="7834CE6A" w14:textId="3912D026" w:rsidR="00C830E1" w:rsidRPr="0059112B" w:rsidRDefault="00C830E1" w:rsidP="00C830E1">
            <w:pPr>
              <w:rPr>
                <w:rFonts w:ascii="Times New Roman" w:hAnsi="Times New Roman" w:cs="Times New Roman"/>
                <w:sz w:val="24"/>
                <w:szCs w:val="24"/>
                <w:lang w:eastAsia="uk-UA"/>
              </w:rPr>
            </w:pPr>
          </w:p>
        </w:tc>
        <w:tc>
          <w:tcPr>
            <w:tcW w:w="1019" w:type="dxa"/>
            <w:shd w:val="clear" w:color="auto" w:fill="auto"/>
          </w:tcPr>
          <w:p w14:paraId="1CDFA070" w14:textId="303B7A5E"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028</w:t>
            </w:r>
          </w:p>
        </w:tc>
        <w:tc>
          <w:tcPr>
            <w:tcW w:w="6237" w:type="dxa"/>
            <w:shd w:val="clear" w:color="auto" w:fill="auto"/>
          </w:tcPr>
          <w:p w14:paraId="3FE9CD38" w14:textId="705B0CCA"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0,5</w:t>
            </w:r>
          </w:p>
          <w:p w14:paraId="045A3BE5" w14:textId="6DE5695D"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сукупних активів та позабалансових зобов’язань</w:t>
            </w:r>
            <w:r w:rsidRPr="00D501C8">
              <w:rPr>
                <w:rFonts w:ascii="Times New Roman" w:hAnsi="Times New Roman" w:cs="Times New Roman"/>
                <w:sz w:val="24"/>
                <w:szCs w:val="24"/>
                <w:lang w:val="ru-RU" w:eastAsia="uk-UA"/>
              </w:rPr>
              <w:t> </w:t>
            </w:r>
            <w:r w:rsidRPr="00D501C8">
              <w:rPr>
                <w:rFonts w:ascii="Times New Roman" w:hAnsi="Times New Roman" w:cs="Times New Roman"/>
                <w:sz w:val="24"/>
                <w:szCs w:val="24"/>
                <w:lang w:eastAsia="uk-UA"/>
              </w:rPr>
              <w:t xml:space="preserve">– сукупний розмір фінансових зобов’язань (крім деривативів), </w:t>
            </w:r>
            <w:r w:rsidR="00A44B4B"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A44B4B"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4A1A99C4" w14:textId="462B3B42" w:rsidR="00C830E1" w:rsidRPr="00D501C8" w:rsidRDefault="00A44B4B"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lastRenderedPageBreak/>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0,5.</w:t>
            </w:r>
          </w:p>
        </w:tc>
      </w:tr>
      <w:tr w:rsidR="00C830E1" w:rsidRPr="0059112B" w14:paraId="4B47417D" w14:textId="77777777" w:rsidTr="00920CCC">
        <w:tc>
          <w:tcPr>
            <w:tcW w:w="567" w:type="dxa"/>
            <w:tcBorders>
              <w:top w:val="single" w:sz="4" w:space="0" w:color="auto"/>
              <w:bottom w:val="single" w:sz="4" w:space="0" w:color="auto"/>
            </w:tcBorders>
            <w:shd w:val="clear" w:color="auto" w:fill="auto"/>
          </w:tcPr>
          <w:p w14:paraId="2FD68420" w14:textId="49122DBC"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lastRenderedPageBreak/>
              <w:t>29</w:t>
            </w:r>
          </w:p>
        </w:tc>
        <w:tc>
          <w:tcPr>
            <w:tcW w:w="2668" w:type="dxa"/>
            <w:shd w:val="clear" w:color="auto" w:fill="auto"/>
          </w:tcPr>
          <w:p w14:paraId="5D957E18"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53977B58" w14:textId="4B134E23"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563AFE3" w14:textId="558599D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029</w:t>
            </w:r>
          </w:p>
        </w:tc>
        <w:tc>
          <w:tcPr>
            <w:tcW w:w="6237" w:type="dxa"/>
            <w:shd w:val="clear" w:color="auto" w:fill="auto"/>
          </w:tcPr>
          <w:p w14:paraId="5BB87391" w14:textId="111E2427"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Розмір фінансових зобов’язань, зменшених на резерви та зважених на значення коефіцієнта кредитної конверсії  1,0</w:t>
            </w:r>
          </w:p>
          <w:p w14:paraId="45F49B4E" w14:textId="43951CA6"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A44B4B"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A44B4B"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0C5F9E44" w14:textId="71902925" w:rsidR="00C830E1" w:rsidRPr="00D501C8" w:rsidRDefault="00A44B4B" w:rsidP="00A44B4B">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1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коефіцієнта кредитної конверсії 1,0.</w:t>
            </w:r>
          </w:p>
        </w:tc>
      </w:tr>
      <w:tr w:rsidR="00C830E1" w:rsidRPr="0059112B" w14:paraId="678E4B61" w14:textId="77777777" w:rsidTr="00920CCC">
        <w:tc>
          <w:tcPr>
            <w:tcW w:w="567" w:type="dxa"/>
            <w:tcBorders>
              <w:top w:val="single" w:sz="4" w:space="0" w:color="auto"/>
              <w:bottom w:val="single" w:sz="4" w:space="0" w:color="auto"/>
            </w:tcBorders>
            <w:shd w:val="clear" w:color="auto" w:fill="auto"/>
          </w:tcPr>
          <w:p w14:paraId="08340B81" w14:textId="193A8DB2"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30</w:t>
            </w:r>
          </w:p>
          <w:p w14:paraId="592DDB38" w14:textId="34825CEF" w:rsidR="00C830E1" w:rsidRPr="0059112B" w:rsidRDefault="00C830E1" w:rsidP="00C830E1">
            <w:pPr>
              <w:jc w:val="center"/>
              <w:rPr>
                <w:rFonts w:ascii="Times New Roman" w:hAnsi="Times New Roman" w:cs="Times New Roman"/>
                <w:sz w:val="24"/>
                <w:szCs w:val="24"/>
                <w:lang w:eastAsia="uk-UA"/>
              </w:rPr>
            </w:pPr>
          </w:p>
        </w:tc>
        <w:tc>
          <w:tcPr>
            <w:tcW w:w="2668" w:type="dxa"/>
            <w:shd w:val="clear" w:color="auto" w:fill="auto"/>
          </w:tcPr>
          <w:p w14:paraId="3F1FDDA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4F3FC970" w14:textId="4486F701"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5D1F9C36" w14:textId="53C758E0"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030</w:t>
            </w:r>
          </w:p>
        </w:tc>
        <w:tc>
          <w:tcPr>
            <w:tcW w:w="6237" w:type="dxa"/>
            <w:shd w:val="clear" w:color="auto" w:fill="auto"/>
          </w:tcPr>
          <w:p w14:paraId="60B3EEE2" w14:textId="7FC58B0C" w:rsidR="00C830E1" w:rsidRPr="00D501C8" w:rsidRDefault="00C830E1" w:rsidP="00C830E1">
            <w:pPr>
              <w:jc w:val="both"/>
              <w:rPr>
                <w:rFonts w:ascii="Times New Roman" w:eastAsia="Times New Roman" w:hAnsi="Times New Roman" w:cs="Times New Roman"/>
                <w:b/>
                <w:sz w:val="24"/>
                <w:szCs w:val="24"/>
                <w:lang w:eastAsia="uk-UA"/>
              </w:rPr>
            </w:pPr>
            <w:r w:rsidRPr="00D501C8">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0,1 та зменшених на резерви </w:t>
            </w:r>
          </w:p>
          <w:p w14:paraId="324DAA49" w14:textId="3C67355C" w:rsidR="00C830E1" w:rsidRPr="00D501C8" w:rsidRDefault="00C830E1" w:rsidP="00C830E1">
            <w:pPr>
              <w:jc w:val="both"/>
              <w:rPr>
                <w:rFonts w:ascii="Times New Roman" w:hAnsi="Times New Roman" w:cs="Times New Roman"/>
                <w:sz w:val="24"/>
                <w:szCs w:val="24"/>
                <w:lang w:eastAsia="uk-UA"/>
              </w:rPr>
            </w:pPr>
            <w:r w:rsidRPr="00D501C8">
              <w:rPr>
                <w:rFonts w:ascii="Times New Roman" w:eastAsia="Times New Roman" w:hAnsi="Times New Roman" w:cs="Times New Roman"/>
                <w:sz w:val="24"/>
                <w:szCs w:val="24"/>
                <w:lang w:eastAsia="uk-UA"/>
              </w:rPr>
              <w:t>1.</w:t>
            </w:r>
            <w:r w:rsidRPr="00D501C8">
              <w:rPr>
                <w:rFonts w:ascii="Times New Roman" w:eastAsia="Times New Roman" w:hAnsi="Times New Roman" w:cs="Times New Roman"/>
                <w:b/>
                <w:sz w:val="24"/>
                <w:szCs w:val="24"/>
                <w:lang w:eastAsia="uk-UA"/>
              </w:rPr>
              <w:t xml:space="preserve"> </w:t>
            </w:r>
            <w:r w:rsidRPr="00D501C8">
              <w:rPr>
                <w:rFonts w:ascii="Times New Roman" w:eastAsia="Times New Roman" w:hAnsi="Times New Roman" w:cs="Times New Roman"/>
                <w:sz w:val="24"/>
                <w:szCs w:val="24"/>
                <w:lang w:eastAsia="uk-UA"/>
              </w:rPr>
              <w:t xml:space="preserve">Сума за складовою </w:t>
            </w:r>
            <w:r w:rsidRPr="00D501C8">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BE35D6" w:rsidRPr="00D501C8">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D501C8">
              <w:rPr>
                <w:rFonts w:ascii="Times New Roman" w:hAnsi="Times New Roman" w:cs="Times New Roman"/>
                <w:sz w:val="24"/>
                <w:szCs w:val="24"/>
                <w:lang w:eastAsia="uk-UA"/>
              </w:rPr>
              <w:t xml:space="preserve"> згідно з підпунктом 1 пункту 42 розділу </w:t>
            </w:r>
            <w:r w:rsidR="008C663D" w:rsidRPr="00D501C8">
              <w:rPr>
                <w:rFonts w:ascii="Times New Roman" w:hAnsi="Times New Roman" w:cs="Times New Roman"/>
                <w:sz w:val="24"/>
                <w:szCs w:val="24"/>
                <w:lang w:val="en-US" w:eastAsia="uk-UA"/>
              </w:rPr>
              <w:t>V</w:t>
            </w:r>
            <w:r w:rsidR="008C663D" w:rsidRPr="00D501C8">
              <w:rPr>
                <w:rFonts w:ascii="Times New Roman" w:hAnsi="Times New Roman" w:cs="Times New Roman"/>
                <w:sz w:val="24"/>
                <w:szCs w:val="24"/>
                <w:lang w:eastAsia="uk-UA"/>
              </w:rPr>
              <w:t xml:space="preserve"> Положення № 89,</w:t>
            </w:r>
            <w:r w:rsidR="00BE35D6" w:rsidRPr="00D501C8">
              <w:rPr>
                <w:rFonts w:ascii="Times New Roman" w:hAnsi="Times New Roman" w:cs="Times New Roman"/>
                <w:sz w:val="24"/>
                <w:szCs w:val="24"/>
                <w:lang w:eastAsia="uk-UA"/>
              </w:rPr>
              <w:t xml:space="preserve"> </w:t>
            </w:r>
            <w:r w:rsidRPr="00D501C8">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20B8AB3F" w14:textId="2748ACA4" w:rsidR="00C830E1" w:rsidRPr="00D501C8" w:rsidRDefault="00BE35D6" w:rsidP="007A1CA0">
            <w:pPr>
              <w:jc w:val="both"/>
              <w:rPr>
                <w:rFonts w:ascii="Times New Roman" w:hAnsi="Times New Roman" w:cs="Times New Roman"/>
                <w:sz w:val="24"/>
                <w:szCs w:val="24"/>
                <w:lang w:eastAsia="uk-UA"/>
              </w:rPr>
            </w:pPr>
            <w:r w:rsidRPr="00D501C8">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D501C8">
              <w:rPr>
                <w:rFonts w:ascii="Times New Roman" w:hAnsi="Times New Roman" w:cs="Times New Roman"/>
                <w:sz w:val="24"/>
                <w:szCs w:val="24"/>
                <w:lang w:val="en-US" w:eastAsia="uk-UA"/>
              </w:rPr>
              <w:t>V</w:t>
            </w:r>
            <w:r w:rsidRPr="00D501C8">
              <w:rPr>
                <w:rFonts w:ascii="Times New Roman" w:hAnsi="Times New Roman" w:cs="Times New Roman"/>
                <w:sz w:val="24"/>
                <w:szCs w:val="24"/>
                <w:lang w:eastAsia="uk-UA"/>
              </w:rPr>
              <w:t xml:space="preserve"> Положення № 89 із застосуванням значення кое</w:t>
            </w:r>
            <w:r w:rsidR="007A1CA0" w:rsidRPr="00D501C8">
              <w:rPr>
                <w:rFonts w:ascii="Times New Roman" w:hAnsi="Times New Roman" w:cs="Times New Roman"/>
                <w:sz w:val="24"/>
                <w:szCs w:val="24"/>
                <w:lang w:eastAsia="uk-UA"/>
              </w:rPr>
              <w:t>фіцієнта кредитної конверсії 0,1</w:t>
            </w:r>
            <w:r w:rsidRPr="00D501C8">
              <w:rPr>
                <w:rFonts w:ascii="Times New Roman" w:hAnsi="Times New Roman" w:cs="Times New Roman"/>
                <w:sz w:val="24"/>
                <w:szCs w:val="24"/>
                <w:lang w:eastAsia="uk-UA"/>
              </w:rPr>
              <w:t>.</w:t>
            </w:r>
          </w:p>
        </w:tc>
      </w:tr>
      <w:tr w:rsidR="00C830E1" w:rsidRPr="0059112B" w14:paraId="058F95EC" w14:textId="77777777" w:rsidTr="00920CCC">
        <w:tc>
          <w:tcPr>
            <w:tcW w:w="567" w:type="dxa"/>
            <w:tcBorders>
              <w:top w:val="single" w:sz="4" w:space="0" w:color="auto"/>
              <w:bottom w:val="single" w:sz="4" w:space="0" w:color="auto"/>
            </w:tcBorders>
            <w:shd w:val="clear" w:color="auto" w:fill="auto"/>
          </w:tcPr>
          <w:p w14:paraId="4A358DA2" w14:textId="796D7C8D"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31</w:t>
            </w:r>
          </w:p>
        </w:tc>
        <w:tc>
          <w:tcPr>
            <w:tcW w:w="2668" w:type="dxa"/>
            <w:shd w:val="clear" w:color="auto" w:fill="auto"/>
          </w:tcPr>
          <w:p w14:paraId="22297921"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03876635" w14:textId="2C18B36B"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C68B75F" w14:textId="5E58E954"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031</w:t>
            </w:r>
          </w:p>
        </w:tc>
        <w:tc>
          <w:tcPr>
            <w:tcW w:w="6237" w:type="dxa"/>
            <w:shd w:val="clear" w:color="auto" w:fill="auto"/>
          </w:tcPr>
          <w:p w14:paraId="6CBA68CC" w14:textId="32BB7C8F" w:rsidR="00C830E1" w:rsidRPr="00790636" w:rsidRDefault="00C830E1" w:rsidP="00C830E1">
            <w:pPr>
              <w:jc w:val="both"/>
              <w:rPr>
                <w:rFonts w:ascii="Times New Roman" w:eastAsia="Times New Roman" w:hAnsi="Times New Roman" w:cs="Times New Roman"/>
                <w:b/>
                <w:sz w:val="24"/>
                <w:szCs w:val="24"/>
                <w:lang w:eastAsia="uk-UA"/>
              </w:rPr>
            </w:pPr>
            <w:r w:rsidRPr="00790636">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0,2 та зменшених на резерви </w:t>
            </w:r>
          </w:p>
          <w:p w14:paraId="15402F98" w14:textId="19ED1DAF"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7A1CA0"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8C663D" w:rsidRPr="00790636">
              <w:rPr>
                <w:rFonts w:ascii="Times New Roman" w:hAnsi="Times New Roman" w:cs="Times New Roman"/>
                <w:sz w:val="24"/>
                <w:szCs w:val="24"/>
                <w:lang w:eastAsia="uk-UA"/>
              </w:rPr>
              <w:t xml:space="preserve"> згідно з підпунктом 1 пункту 42 розділу </w:t>
            </w:r>
            <w:r w:rsidR="008C663D" w:rsidRPr="00790636">
              <w:rPr>
                <w:rFonts w:ascii="Times New Roman" w:hAnsi="Times New Roman" w:cs="Times New Roman"/>
                <w:sz w:val="24"/>
                <w:szCs w:val="24"/>
                <w:lang w:val="en-US" w:eastAsia="uk-UA"/>
              </w:rPr>
              <w:t>V</w:t>
            </w:r>
            <w:r w:rsidR="008C663D" w:rsidRPr="00790636">
              <w:rPr>
                <w:rFonts w:ascii="Times New Roman" w:hAnsi="Times New Roman" w:cs="Times New Roman"/>
                <w:sz w:val="24"/>
                <w:szCs w:val="24"/>
                <w:lang w:eastAsia="uk-UA"/>
              </w:rPr>
              <w:t xml:space="preserve"> Положення № 89,</w:t>
            </w:r>
            <w:r w:rsidR="007A1CA0"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584FB996" w14:textId="5AE5D499" w:rsidR="00C830E1" w:rsidRPr="00790636" w:rsidRDefault="007A1CA0" w:rsidP="007A1CA0">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lastRenderedPageBreak/>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0,2.</w:t>
            </w:r>
          </w:p>
        </w:tc>
      </w:tr>
      <w:tr w:rsidR="00C830E1" w:rsidRPr="0059112B" w14:paraId="1F80A6A6" w14:textId="77777777" w:rsidTr="00920CCC">
        <w:tc>
          <w:tcPr>
            <w:tcW w:w="567" w:type="dxa"/>
            <w:tcBorders>
              <w:top w:val="single" w:sz="4" w:space="0" w:color="auto"/>
              <w:bottom w:val="single" w:sz="4" w:space="0" w:color="auto"/>
            </w:tcBorders>
            <w:shd w:val="clear" w:color="auto" w:fill="auto"/>
          </w:tcPr>
          <w:p w14:paraId="32758DAE" w14:textId="352ADDDA"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lastRenderedPageBreak/>
              <w:t>32</w:t>
            </w:r>
          </w:p>
        </w:tc>
        <w:tc>
          <w:tcPr>
            <w:tcW w:w="2668" w:type="dxa"/>
            <w:shd w:val="clear" w:color="auto" w:fill="auto"/>
          </w:tcPr>
          <w:p w14:paraId="4AA7CDD6"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62C9102B" w14:textId="22906CE6"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567E3828" w14:textId="5D38324A"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032</w:t>
            </w:r>
          </w:p>
        </w:tc>
        <w:tc>
          <w:tcPr>
            <w:tcW w:w="6237" w:type="dxa"/>
            <w:shd w:val="clear" w:color="auto" w:fill="auto"/>
          </w:tcPr>
          <w:p w14:paraId="6CC29B3A" w14:textId="34213881" w:rsidR="00C830E1" w:rsidRPr="00790636" w:rsidRDefault="00C830E1" w:rsidP="00C830E1">
            <w:pPr>
              <w:jc w:val="both"/>
              <w:rPr>
                <w:rFonts w:ascii="Times New Roman" w:eastAsia="Times New Roman" w:hAnsi="Times New Roman" w:cs="Times New Roman"/>
                <w:b/>
                <w:sz w:val="24"/>
                <w:szCs w:val="24"/>
                <w:lang w:eastAsia="uk-UA"/>
              </w:rPr>
            </w:pPr>
            <w:r w:rsidRPr="00790636">
              <w:rPr>
                <w:rFonts w:ascii="Times New Roman" w:eastAsia="Times New Roman" w:hAnsi="Times New Roman" w:cs="Times New Roman"/>
                <w:b/>
                <w:sz w:val="24"/>
                <w:szCs w:val="24"/>
                <w:lang w:eastAsia="uk-UA"/>
              </w:rPr>
              <w:t xml:space="preserve">Розмір фінансових зобов’язань, зважених на значення коефіцієнта кредитної конверсії 0,5 та зменшених на резерви </w:t>
            </w:r>
          </w:p>
          <w:p w14:paraId="00E7F7AF" w14:textId="4FAB3E58"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C60647"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A64956" w:rsidRPr="00790636">
              <w:rPr>
                <w:rFonts w:ascii="Times New Roman" w:hAnsi="Times New Roman" w:cs="Times New Roman"/>
                <w:sz w:val="24"/>
                <w:szCs w:val="24"/>
                <w:lang w:eastAsia="uk-UA"/>
              </w:rPr>
              <w:t xml:space="preserve"> згідно з підпунктом 1 пункту 42 розділу </w:t>
            </w:r>
            <w:r w:rsidR="00A64956" w:rsidRPr="00790636">
              <w:rPr>
                <w:rFonts w:ascii="Times New Roman" w:hAnsi="Times New Roman" w:cs="Times New Roman"/>
                <w:sz w:val="24"/>
                <w:szCs w:val="24"/>
                <w:lang w:val="en-US" w:eastAsia="uk-UA"/>
              </w:rPr>
              <w:t>V</w:t>
            </w:r>
            <w:r w:rsidR="00A64956" w:rsidRPr="00790636">
              <w:rPr>
                <w:rFonts w:ascii="Times New Roman" w:hAnsi="Times New Roman" w:cs="Times New Roman"/>
                <w:sz w:val="24"/>
                <w:szCs w:val="24"/>
                <w:lang w:eastAsia="uk-UA"/>
              </w:rPr>
              <w:t xml:space="preserve"> Положення № 89,</w:t>
            </w:r>
            <w:r w:rsidR="00C60647"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433D3E02" w14:textId="40CEFC0A" w:rsidR="00C830E1" w:rsidRPr="00790636" w:rsidRDefault="00C60647" w:rsidP="00C60647">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0,5.</w:t>
            </w:r>
          </w:p>
        </w:tc>
      </w:tr>
      <w:tr w:rsidR="00C830E1" w:rsidRPr="0059112B" w14:paraId="314E06F3" w14:textId="77777777" w:rsidTr="00920CCC">
        <w:tc>
          <w:tcPr>
            <w:tcW w:w="567" w:type="dxa"/>
            <w:tcBorders>
              <w:top w:val="single" w:sz="4" w:space="0" w:color="auto"/>
              <w:bottom w:val="single" w:sz="4" w:space="0" w:color="auto"/>
            </w:tcBorders>
            <w:shd w:val="clear" w:color="auto" w:fill="auto"/>
          </w:tcPr>
          <w:p w14:paraId="3995A951" w14:textId="14F85552"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33</w:t>
            </w:r>
          </w:p>
        </w:tc>
        <w:tc>
          <w:tcPr>
            <w:tcW w:w="2668" w:type="dxa"/>
            <w:shd w:val="clear" w:color="auto" w:fill="auto"/>
          </w:tcPr>
          <w:p w14:paraId="19AE8B73"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3D8D682F" w14:textId="582870B9"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74E2B228" w14:textId="2B4791A3" w:rsidR="00C830E1" w:rsidRPr="0059112B" w:rsidRDefault="00C830E1" w:rsidP="00C830E1">
            <w:pPr>
              <w:jc w:val="center"/>
              <w:rPr>
                <w:rFonts w:ascii="Times New Roman" w:eastAsia="Times New Roman" w:hAnsi="Times New Roman" w:cs="Times New Roman"/>
                <w:bCs/>
                <w:sz w:val="24"/>
                <w:szCs w:val="24"/>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033</w:t>
            </w:r>
          </w:p>
        </w:tc>
        <w:tc>
          <w:tcPr>
            <w:tcW w:w="6237" w:type="dxa"/>
            <w:shd w:val="clear" w:color="auto" w:fill="auto"/>
          </w:tcPr>
          <w:p w14:paraId="317E1CF0" w14:textId="704119CD" w:rsidR="00C830E1" w:rsidRPr="00790636" w:rsidRDefault="00C830E1" w:rsidP="00C830E1">
            <w:pPr>
              <w:jc w:val="both"/>
              <w:rPr>
                <w:rFonts w:ascii="Times New Roman" w:eastAsia="Times New Roman" w:hAnsi="Times New Roman" w:cs="Times New Roman"/>
                <w:b/>
                <w:sz w:val="24"/>
                <w:szCs w:val="24"/>
                <w:lang w:eastAsia="uk-UA"/>
              </w:rPr>
            </w:pPr>
            <w:r w:rsidRPr="0059112B">
              <w:rPr>
                <w:rFonts w:ascii="Times New Roman" w:eastAsia="Times New Roman" w:hAnsi="Times New Roman" w:cs="Times New Roman"/>
                <w:b/>
                <w:sz w:val="24"/>
                <w:szCs w:val="24"/>
                <w:lang w:eastAsia="uk-UA"/>
              </w:rPr>
              <w:t xml:space="preserve">Розмір фінансових зобов’язань, зважених на значення </w:t>
            </w:r>
            <w:r w:rsidRPr="00790636">
              <w:rPr>
                <w:rFonts w:ascii="Times New Roman" w:eastAsia="Times New Roman" w:hAnsi="Times New Roman" w:cs="Times New Roman"/>
                <w:b/>
                <w:sz w:val="24"/>
                <w:szCs w:val="24"/>
                <w:lang w:eastAsia="uk-UA"/>
              </w:rPr>
              <w:t xml:space="preserve">коефіцієнта кредитної конверсії 1,0 та зменшених на резерви </w:t>
            </w:r>
          </w:p>
          <w:p w14:paraId="3EECFCAB" w14:textId="5FA7E279" w:rsidR="00C830E1" w:rsidRPr="00790636" w:rsidRDefault="00C830E1" w:rsidP="00C830E1">
            <w:pPr>
              <w:jc w:val="both"/>
              <w:rPr>
                <w:rFonts w:ascii="Times New Roman" w:hAnsi="Times New Roman" w:cs="Times New Roman"/>
                <w:sz w:val="24"/>
                <w:szCs w:val="24"/>
                <w:lang w:eastAsia="uk-UA"/>
              </w:rPr>
            </w:pPr>
            <w:r w:rsidRPr="00790636">
              <w:rPr>
                <w:rFonts w:ascii="Times New Roman" w:eastAsia="Times New Roman" w:hAnsi="Times New Roman" w:cs="Times New Roman"/>
                <w:sz w:val="24"/>
                <w:szCs w:val="24"/>
                <w:lang w:eastAsia="uk-UA"/>
              </w:rPr>
              <w:t>1.</w:t>
            </w:r>
            <w:r w:rsidRPr="00790636">
              <w:rPr>
                <w:rFonts w:ascii="Times New Roman" w:eastAsia="Times New Roman" w:hAnsi="Times New Roman" w:cs="Times New Roman"/>
                <w:b/>
                <w:sz w:val="24"/>
                <w:szCs w:val="24"/>
                <w:lang w:eastAsia="uk-UA"/>
              </w:rPr>
              <w:t xml:space="preserve"> </w:t>
            </w:r>
            <w:r w:rsidRPr="00790636">
              <w:rPr>
                <w:rFonts w:ascii="Times New Roman" w:eastAsia="Times New Roman" w:hAnsi="Times New Roman" w:cs="Times New Roman"/>
                <w:sz w:val="24"/>
                <w:szCs w:val="24"/>
                <w:lang w:eastAsia="uk-UA"/>
              </w:rPr>
              <w:t xml:space="preserve">Сума за складовою </w:t>
            </w:r>
            <w:r w:rsidRPr="00790636">
              <w:rPr>
                <w:rFonts w:ascii="Times New Roman" w:hAnsi="Times New Roman" w:cs="Times New Roman"/>
                <w:sz w:val="24"/>
                <w:szCs w:val="24"/>
                <w:lang w:eastAsia="uk-UA"/>
              </w:rPr>
              <w:t xml:space="preserve">сукупних активів та позабалансових зобов’язань – сукупний розмір фінансових зобов’язань (крім деривативів), </w:t>
            </w:r>
            <w:r w:rsidR="006748B3" w:rsidRPr="00790636">
              <w:rPr>
                <w:rFonts w:ascii="Times New Roman" w:hAnsi="Times New Roman" w:cs="Times New Roman"/>
                <w:sz w:val="24"/>
                <w:szCs w:val="24"/>
                <w:lang w:eastAsia="uk-UA"/>
              </w:rPr>
              <w:t>які включаються до сукупного розміру експозицій за позабалансовими зобов’язаннями</w:t>
            </w:r>
            <w:r w:rsidR="00A64956" w:rsidRPr="00790636">
              <w:rPr>
                <w:rFonts w:ascii="Times New Roman" w:hAnsi="Times New Roman" w:cs="Times New Roman"/>
                <w:sz w:val="24"/>
                <w:szCs w:val="24"/>
                <w:lang w:eastAsia="uk-UA"/>
              </w:rPr>
              <w:t xml:space="preserve"> згідно з підпунктом 1 пункту 42 розділу </w:t>
            </w:r>
            <w:r w:rsidR="00A64956" w:rsidRPr="00790636">
              <w:rPr>
                <w:rFonts w:ascii="Times New Roman" w:hAnsi="Times New Roman" w:cs="Times New Roman"/>
                <w:sz w:val="24"/>
                <w:szCs w:val="24"/>
                <w:lang w:val="en-US" w:eastAsia="uk-UA"/>
              </w:rPr>
              <w:t>V</w:t>
            </w:r>
            <w:r w:rsidR="00A64956" w:rsidRPr="00790636">
              <w:rPr>
                <w:rFonts w:ascii="Times New Roman" w:hAnsi="Times New Roman" w:cs="Times New Roman"/>
                <w:sz w:val="24"/>
                <w:szCs w:val="24"/>
                <w:lang w:eastAsia="uk-UA"/>
              </w:rPr>
              <w:t xml:space="preserve"> Положення № 89,</w:t>
            </w:r>
            <w:r w:rsidR="006748B3" w:rsidRPr="00790636">
              <w:rPr>
                <w:rFonts w:ascii="Times New Roman" w:hAnsi="Times New Roman" w:cs="Times New Roman"/>
                <w:sz w:val="24"/>
                <w:szCs w:val="24"/>
                <w:lang w:eastAsia="uk-UA"/>
              </w:rPr>
              <w:t xml:space="preserve"> </w:t>
            </w:r>
            <w:r w:rsidRPr="00790636">
              <w:rPr>
                <w:rFonts w:ascii="Times New Roman" w:hAnsi="Times New Roman" w:cs="Times New Roman"/>
                <w:sz w:val="24"/>
                <w:szCs w:val="24"/>
                <w:lang w:eastAsia="uk-UA"/>
              </w:rPr>
              <w:t>з урахуванням R020(GR900)/T020(1), R020(GR910)/T020(1), R020(GR912)/T020(1), R020(9200)/T020(1), R020(GR930)/T020(1),  R020(9350)/T020(1), R020(3690)/T020(2), R020(3692)/T020(2).</w:t>
            </w:r>
          </w:p>
          <w:p w14:paraId="37D995A1" w14:textId="0A1F0994" w:rsidR="00C830E1" w:rsidRPr="00C45655" w:rsidRDefault="006748B3" w:rsidP="006748B3">
            <w:pPr>
              <w:jc w:val="both"/>
              <w:rPr>
                <w:rFonts w:ascii="Times New Roman" w:hAnsi="Times New Roman" w:cs="Times New Roman"/>
                <w:sz w:val="24"/>
                <w:szCs w:val="24"/>
                <w:lang w:eastAsia="uk-UA"/>
              </w:rPr>
            </w:pPr>
            <w:r w:rsidRPr="00790636">
              <w:rPr>
                <w:rFonts w:ascii="Times New Roman" w:hAnsi="Times New Roman" w:cs="Times New Roman"/>
                <w:sz w:val="24"/>
                <w:szCs w:val="24"/>
                <w:lang w:eastAsia="uk-UA"/>
              </w:rPr>
              <w:t xml:space="preserve">Розмір фінансового зобов’язання визначається згідно з підпунктом 2 пункту 43 розділу </w:t>
            </w:r>
            <w:r w:rsidRPr="00790636">
              <w:rPr>
                <w:rFonts w:ascii="Times New Roman" w:hAnsi="Times New Roman" w:cs="Times New Roman"/>
                <w:sz w:val="24"/>
                <w:szCs w:val="24"/>
                <w:lang w:val="en-US" w:eastAsia="uk-UA"/>
              </w:rPr>
              <w:t>V</w:t>
            </w:r>
            <w:r w:rsidRPr="00790636">
              <w:rPr>
                <w:rFonts w:ascii="Times New Roman" w:hAnsi="Times New Roman" w:cs="Times New Roman"/>
                <w:sz w:val="24"/>
                <w:szCs w:val="24"/>
                <w:lang w:eastAsia="uk-UA"/>
              </w:rPr>
              <w:t xml:space="preserve"> Положення № 89 із застосуванням значення коефіцієнта кредитної конверсії 1,0.</w:t>
            </w:r>
          </w:p>
        </w:tc>
      </w:tr>
      <w:tr w:rsidR="00C830E1" w:rsidRPr="0059112B" w14:paraId="77F034B1" w14:textId="77777777" w:rsidTr="00920CCC">
        <w:tc>
          <w:tcPr>
            <w:tcW w:w="567" w:type="dxa"/>
            <w:tcBorders>
              <w:top w:val="single" w:sz="4" w:space="0" w:color="auto"/>
              <w:bottom w:val="single" w:sz="4" w:space="0" w:color="auto"/>
            </w:tcBorders>
            <w:shd w:val="clear" w:color="auto" w:fill="auto"/>
          </w:tcPr>
          <w:p w14:paraId="361A3678" w14:textId="6577ED21"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34</w:t>
            </w:r>
          </w:p>
        </w:tc>
        <w:tc>
          <w:tcPr>
            <w:tcW w:w="2668" w:type="dxa"/>
            <w:shd w:val="clear" w:color="auto" w:fill="auto"/>
          </w:tcPr>
          <w:p w14:paraId="4DE15C42"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Складова сукупних активів та позабалансових зобов’язань. </w:t>
            </w:r>
          </w:p>
          <w:p w14:paraId="26A85BC2" w14:textId="599D2864"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Сукупний розмір експозицій за позабалансовими зобов</w:t>
            </w:r>
            <w:r w:rsidRPr="0059112B">
              <w:rPr>
                <w:rFonts w:ascii="Times New Roman" w:hAnsi="Times New Roman" w:cs="Times New Roman"/>
                <w:sz w:val="24"/>
                <w:szCs w:val="24"/>
                <w:lang w:val="ru-RU" w:eastAsia="uk-UA"/>
              </w:rPr>
              <w:t>’</w:t>
            </w:r>
            <w:r w:rsidRPr="0059112B">
              <w:rPr>
                <w:rFonts w:ascii="Times New Roman" w:hAnsi="Times New Roman" w:cs="Times New Roman"/>
                <w:sz w:val="24"/>
                <w:szCs w:val="24"/>
                <w:lang w:eastAsia="uk-UA"/>
              </w:rPr>
              <w:t>язаннями (крім деривативів)</w:t>
            </w:r>
          </w:p>
        </w:tc>
        <w:tc>
          <w:tcPr>
            <w:tcW w:w="1019" w:type="dxa"/>
            <w:shd w:val="clear" w:color="auto" w:fill="auto"/>
          </w:tcPr>
          <w:p w14:paraId="23D4E3DD" w14:textId="3F2C6777"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034</w:t>
            </w:r>
          </w:p>
        </w:tc>
        <w:tc>
          <w:tcPr>
            <w:tcW w:w="6237" w:type="dxa"/>
            <w:shd w:val="clear" w:color="auto" w:fill="auto"/>
          </w:tcPr>
          <w:p w14:paraId="708779EF" w14:textId="33832EEA" w:rsidR="00C830E1" w:rsidRPr="003A1535" w:rsidRDefault="00C830E1" w:rsidP="00C830E1">
            <w:pPr>
              <w:jc w:val="both"/>
              <w:rPr>
                <w:rFonts w:ascii="Times New Roman" w:eastAsia="Times New Roman" w:hAnsi="Times New Roman" w:cs="Times New Roman"/>
                <w:b/>
                <w:sz w:val="24"/>
                <w:szCs w:val="24"/>
                <w:lang w:eastAsia="uk-UA"/>
              </w:rPr>
            </w:pPr>
            <w:r w:rsidRPr="003A1535">
              <w:rPr>
                <w:rFonts w:ascii="Times New Roman" w:eastAsia="Times New Roman" w:hAnsi="Times New Roman" w:cs="Times New Roman"/>
                <w:b/>
                <w:sz w:val="24"/>
                <w:szCs w:val="24"/>
                <w:lang w:eastAsia="uk-UA"/>
              </w:rPr>
              <w:t>Розмір активів у довірчому управлінні</w:t>
            </w:r>
          </w:p>
          <w:p w14:paraId="2CE2B274" w14:textId="54B489FD" w:rsidR="00C830E1" w:rsidRPr="003A1535" w:rsidRDefault="00C830E1" w:rsidP="00C830E1">
            <w:pPr>
              <w:jc w:val="both"/>
              <w:rPr>
                <w:rFonts w:ascii="Times New Roman" w:hAnsi="Times New Roman" w:cs="Times New Roman"/>
                <w:sz w:val="24"/>
                <w:szCs w:val="24"/>
                <w:lang w:eastAsia="uk-UA"/>
              </w:rPr>
            </w:pPr>
            <w:r w:rsidRPr="003A1535">
              <w:rPr>
                <w:rFonts w:ascii="Times New Roman" w:eastAsia="Times New Roman" w:hAnsi="Times New Roman" w:cs="Times New Roman"/>
                <w:sz w:val="24"/>
                <w:szCs w:val="24"/>
                <w:lang w:eastAsia="uk-UA"/>
              </w:rPr>
              <w:t>1.</w:t>
            </w:r>
            <w:r w:rsidRPr="003A1535">
              <w:rPr>
                <w:rFonts w:ascii="Times New Roman" w:eastAsia="Times New Roman" w:hAnsi="Times New Roman" w:cs="Times New Roman"/>
                <w:b/>
                <w:sz w:val="24"/>
                <w:szCs w:val="24"/>
                <w:lang w:eastAsia="uk-UA"/>
              </w:rPr>
              <w:t xml:space="preserve"> </w:t>
            </w:r>
            <w:r w:rsidRPr="003A1535">
              <w:rPr>
                <w:rFonts w:ascii="Times New Roman" w:eastAsia="Times New Roman" w:hAnsi="Times New Roman" w:cs="Times New Roman"/>
                <w:sz w:val="24"/>
                <w:szCs w:val="24"/>
                <w:lang w:eastAsia="uk-UA"/>
              </w:rPr>
              <w:t xml:space="preserve">Сума за складовою </w:t>
            </w:r>
            <w:r w:rsidRPr="003A1535">
              <w:rPr>
                <w:rFonts w:ascii="Times New Roman" w:hAnsi="Times New Roman" w:cs="Times New Roman"/>
                <w:sz w:val="24"/>
                <w:szCs w:val="24"/>
                <w:lang w:eastAsia="uk-UA"/>
              </w:rPr>
              <w:t>сукупних активів та позабалансових зобов’язань –</w:t>
            </w:r>
            <w:r w:rsidRPr="003A1535">
              <w:rPr>
                <w:rFonts w:ascii="Times New Roman" w:hAnsi="Times New Roman" w:cs="Times New Roman"/>
                <w:sz w:val="24"/>
                <w:szCs w:val="24"/>
                <w:lang w:val="en-US" w:eastAsia="uk-UA"/>
              </w:rPr>
              <w:t> </w:t>
            </w:r>
            <w:r w:rsidRPr="003A1535">
              <w:rPr>
                <w:rFonts w:ascii="Times New Roman" w:hAnsi="Times New Roman" w:cs="Times New Roman"/>
                <w:sz w:val="24"/>
                <w:szCs w:val="24"/>
                <w:lang w:eastAsia="uk-UA"/>
              </w:rPr>
              <w:t>сукупний розмір активів у довірчому управлінні,</w:t>
            </w:r>
            <w:r w:rsidR="00DF3720" w:rsidRPr="003A1535">
              <w:rPr>
                <w:rFonts w:ascii="Times New Roman" w:hAnsi="Times New Roman" w:cs="Times New Roman"/>
                <w:sz w:val="24"/>
                <w:szCs w:val="24"/>
                <w:lang w:eastAsia="uk-UA"/>
              </w:rPr>
              <w:t xml:space="preserve"> які включаються до сукупного розміру експозицій за позабалансовими зобов’язаннями</w:t>
            </w:r>
            <w:r w:rsidR="00A64956" w:rsidRPr="003A1535">
              <w:rPr>
                <w:rFonts w:ascii="Times New Roman" w:hAnsi="Times New Roman" w:cs="Times New Roman"/>
                <w:sz w:val="24"/>
                <w:szCs w:val="24"/>
                <w:lang w:eastAsia="uk-UA"/>
              </w:rPr>
              <w:t xml:space="preserve"> згідно з підпунктом 2 пункту 42 розділу </w:t>
            </w:r>
            <w:r w:rsidR="00A64956" w:rsidRPr="003A1535">
              <w:rPr>
                <w:rFonts w:ascii="Times New Roman" w:hAnsi="Times New Roman" w:cs="Times New Roman"/>
                <w:sz w:val="24"/>
                <w:szCs w:val="24"/>
                <w:lang w:val="en-US" w:eastAsia="uk-UA"/>
              </w:rPr>
              <w:t>V</w:t>
            </w:r>
            <w:r w:rsidR="00A64956" w:rsidRPr="003A1535">
              <w:rPr>
                <w:rFonts w:ascii="Times New Roman" w:hAnsi="Times New Roman" w:cs="Times New Roman"/>
                <w:sz w:val="24"/>
                <w:szCs w:val="24"/>
                <w:lang w:eastAsia="uk-UA"/>
              </w:rPr>
              <w:t xml:space="preserve"> Положення № 89,</w:t>
            </w:r>
            <w:r w:rsidRPr="003A1535">
              <w:rPr>
                <w:rFonts w:ascii="Times New Roman" w:hAnsi="Times New Roman" w:cs="Times New Roman"/>
                <w:sz w:val="24"/>
                <w:szCs w:val="24"/>
                <w:lang w:eastAsia="uk-UA"/>
              </w:rPr>
              <w:t xml:space="preserve"> </w:t>
            </w:r>
            <w:r w:rsidR="0050199D" w:rsidRPr="003A1535">
              <w:rPr>
                <w:rFonts w:ascii="Times New Roman" w:hAnsi="Times New Roman" w:cs="Times New Roman"/>
                <w:sz w:val="24"/>
                <w:szCs w:val="24"/>
                <w:lang w:eastAsia="uk-UA"/>
              </w:rPr>
              <w:t>за групою</w:t>
            </w:r>
            <w:r w:rsidRPr="003A1535">
              <w:rPr>
                <w:rFonts w:ascii="Times New Roman" w:hAnsi="Times New Roman" w:cs="Times New Roman"/>
                <w:sz w:val="24"/>
                <w:szCs w:val="24"/>
                <w:lang w:eastAsia="uk-UA"/>
              </w:rPr>
              <w:t xml:space="preserve"> рахунків R020(GR978)/T020(1)</w:t>
            </w:r>
            <w:r w:rsidR="0050199D" w:rsidRPr="003A1535">
              <w:rPr>
                <w:rFonts w:ascii="Times New Roman" w:hAnsi="Times New Roman" w:cs="Times New Roman"/>
                <w:sz w:val="24"/>
                <w:szCs w:val="24"/>
                <w:lang w:eastAsia="uk-UA"/>
              </w:rPr>
              <w:t>.</w:t>
            </w:r>
            <w:r w:rsidRPr="003A1535">
              <w:rPr>
                <w:rFonts w:ascii="Times New Roman" w:hAnsi="Times New Roman" w:cs="Times New Roman"/>
                <w:sz w:val="24"/>
                <w:szCs w:val="24"/>
                <w:lang w:eastAsia="uk-UA"/>
              </w:rPr>
              <w:t xml:space="preserve"> </w:t>
            </w:r>
          </w:p>
          <w:p w14:paraId="39366C94" w14:textId="5D5A47EC" w:rsidR="00C830E1" w:rsidRPr="003A1535" w:rsidRDefault="00C830E1" w:rsidP="00190252">
            <w:pPr>
              <w:jc w:val="both"/>
              <w:rPr>
                <w:rFonts w:ascii="Times New Roman" w:hAnsi="Times New Roman" w:cs="Times New Roman"/>
                <w:sz w:val="24"/>
                <w:szCs w:val="24"/>
                <w:lang w:eastAsia="uk-UA"/>
              </w:rPr>
            </w:pPr>
          </w:p>
        </w:tc>
      </w:tr>
      <w:tr w:rsidR="00C830E1" w:rsidRPr="0059112B" w14:paraId="7DC64371" w14:textId="77777777" w:rsidTr="00920CCC">
        <w:tc>
          <w:tcPr>
            <w:tcW w:w="567" w:type="dxa"/>
            <w:tcBorders>
              <w:top w:val="single" w:sz="4" w:space="0" w:color="auto"/>
              <w:bottom w:val="single" w:sz="4" w:space="0" w:color="auto"/>
            </w:tcBorders>
            <w:shd w:val="clear" w:color="auto" w:fill="auto"/>
          </w:tcPr>
          <w:p w14:paraId="2F236F45" w14:textId="19E93696"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35</w:t>
            </w:r>
          </w:p>
        </w:tc>
        <w:tc>
          <w:tcPr>
            <w:tcW w:w="2668" w:type="dxa"/>
            <w:shd w:val="clear" w:color="auto" w:fill="auto"/>
          </w:tcPr>
          <w:p w14:paraId="5B7D004E" w14:textId="64CE32C0"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7D706807" w14:textId="70C1F265"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5C53DD10" w14:textId="6737FB70"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035</w:t>
            </w:r>
          </w:p>
        </w:tc>
        <w:tc>
          <w:tcPr>
            <w:tcW w:w="6237" w:type="dxa"/>
            <w:shd w:val="clear" w:color="auto" w:fill="auto"/>
          </w:tcPr>
          <w:p w14:paraId="28030C8D" w14:textId="5A0BDD60" w:rsidR="00C830E1" w:rsidRPr="003A1535" w:rsidRDefault="00C830E1" w:rsidP="00C830E1">
            <w:pPr>
              <w:jc w:val="both"/>
              <w:rPr>
                <w:rFonts w:ascii="Times New Roman" w:eastAsia="Times New Roman" w:hAnsi="Times New Roman" w:cs="Times New Roman"/>
                <w:b/>
                <w:sz w:val="24"/>
                <w:szCs w:val="24"/>
                <w:lang w:eastAsia="ru-RU"/>
              </w:rPr>
            </w:pPr>
            <w:r w:rsidRPr="003A1535">
              <w:rPr>
                <w:rFonts w:ascii="Times New Roman" w:eastAsia="Times New Roman" w:hAnsi="Times New Roman" w:cs="Times New Roman"/>
                <w:b/>
                <w:sz w:val="24"/>
                <w:szCs w:val="24"/>
                <w:lang w:eastAsia="uk-UA"/>
              </w:rPr>
              <w:t>Вирахування з основного капіталу 1 рівня та додаткового капіталу 1 рівня</w:t>
            </w:r>
            <w:r w:rsidRPr="003A1535">
              <w:rPr>
                <w:rFonts w:ascii="Times New Roman" w:eastAsia="Times New Roman" w:hAnsi="Times New Roman" w:cs="Times New Roman"/>
                <w:b/>
                <w:sz w:val="24"/>
                <w:szCs w:val="24"/>
                <w:lang w:eastAsia="ru-RU"/>
              </w:rPr>
              <w:t xml:space="preserve"> </w:t>
            </w:r>
          </w:p>
          <w:p w14:paraId="185486DB" w14:textId="1306FEE8" w:rsidR="00C830E1" w:rsidRPr="003A1535" w:rsidRDefault="00C830E1" w:rsidP="00C45AA0">
            <w:pPr>
              <w:jc w:val="both"/>
              <w:rPr>
                <w:rFonts w:ascii="Times New Roman" w:eastAsia="Times New Roman" w:hAnsi="Times New Roman" w:cs="Times New Roman"/>
                <w:sz w:val="24"/>
                <w:szCs w:val="24"/>
                <w:lang w:eastAsia="ru-RU"/>
              </w:rPr>
            </w:pPr>
            <w:r w:rsidRPr="003A1535">
              <w:rPr>
                <w:rFonts w:ascii="Times New Roman" w:hAnsi="Times New Roman" w:cs="Times New Roman"/>
                <w:sz w:val="24"/>
                <w:szCs w:val="24"/>
                <w:lang w:eastAsia="uk-UA"/>
              </w:rPr>
              <w:t xml:space="preserve">1. Сума, яка не включається до розрахунку  сукупних активів та позабалансових зобов’язань – сума вирахувань з основного капіталу 1 рівня та додаткового </w:t>
            </w:r>
            <w:r w:rsidRPr="003A1535">
              <w:rPr>
                <w:rFonts w:ascii="Times New Roman" w:hAnsi="Times New Roman" w:cs="Times New Roman"/>
                <w:sz w:val="24"/>
                <w:szCs w:val="24"/>
                <w:lang w:eastAsia="uk-UA"/>
              </w:rPr>
              <w:lastRenderedPageBreak/>
              <w:t>капіталу 1 рівня, здійснених згідно з Положенням № 196, яку банк не включає до розрахунку сукупних активів та позабалансових зобов’язань згідно з</w:t>
            </w:r>
            <w:r w:rsidR="003F59E0" w:rsidRPr="003A1535">
              <w:rPr>
                <w:rFonts w:ascii="Times New Roman" w:hAnsi="Times New Roman" w:cs="Times New Roman"/>
                <w:sz w:val="24"/>
                <w:szCs w:val="24"/>
                <w:lang w:eastAsia="uk-UA"/>
              </w:rPr>
              <w:t xml:space="preserve"> </w:t>
            </w:r>
            <w:r w:rsidR="003F59E0" w:rsidRPr="003A1535">
              <w:rPr>
                <w:rFonts w:ascii="Times New Roman" w:eastAsia="Times New Roman" w:hAnsi="Times New Roman" w:cs="Times New Roman"/>
                <w:sz w:val="24"/>
                <w:szCs w:val="24"/>
                <w:lang w:eastAsia="ru-RU"/>
              </w:rPr>
              <w:t>абзацом другим підпункту 2 пункту 4</w:t>
            </w:r>
            <w:r w:rsidR="00C45AA0" w:rsidRPr="003A1535">
              <w:rPr>
                <w:rFonts w:ascii="Times New Roman" w:hAnsi="Times New Roman" w:cs="Times New Roman"/>
                <w:sz w:val="24"/>
                <w:szCs w:val="24"/>
                <w:lang w:eastAsia="uk-UA"/>
              </w:rPr>
              <w:t xml:space="preserve"> та </w:t>
            </w:r>
            <w:r w:rsidRPr="003A1535">
              <w:rPr>
                <w:rFonts w:ascii="Times New Roman" w:hAnsi="Times New Roman" w:cs="Times New Roman"/>
                <w:sz w:val="24"/>
                <w:szCs w:val="24"/>
                <w:lang w:eastAsia="uk-UA"/>
              </w:rPr>
              <w:t>підпункт</w:t>
            </w:r>
            <w:r w:rsidR="004D5FD8" w:rsidRPr="003A1535">
              <w:rPr>
                <w:rFonts w:ascii="Times New Roman" w:hAnsi="Times New Roman" w:cs="Times New Roman"/>
                <w:sz w:val="24"/>
                <w:szCs w:val="24"/>
                <w:lang w:eastAsia="uk-UA"/>
              </w:rPr>
              <w:t>ом</w:t>
            </w:r>
            <w:r w:rsidR="00C45AA0" w:rsidRPr="003A1535">
              <w:rPr>
                <w:rFonts w:ascii="Times New Roman" w:hAnsi="Times New Roman" w:cs="Times New Roman"/>
                <w:sz w:val="24"/>
                <w:szCs w:val="24"/>
                <w:lang w:eastAsia="uk-UA"/>
              </w:rPr>
              <w:t xml:space="preserve"> </w:t>
            </w:r>
            <w:r w:rsidRPr="003A1535">
              <w:rPr>
                <w:rFonts w:ascii="Times New Roman" w:hAnsi="Times New Roman" w:cs="Times New Roman"/>
                <w:sz w:val="24"/>
                <w:szCs w:val="24"/>
                <w:lang w:eastAsia="uk-UA"/>
              </w:rPr>
              <w:t>1 пункту 10 розділу І Положення № 89</w:t>
            </w:r>
            <w:r w:rsidR="00C45AA0" w:rsidRPr="003A1535">
              <w:rPr>
                <w:rFonts w:ascii="Times New Roman" w:hAnsi="Times New Roman" w:cs="Times New Roman"/>
                <w:sz w:val="24"/>
                <w:szCs w:val="24"/>
                <w:lang w:eastAsia="uk-UA"/>
              </w:rPr>
              <w:t>.</w:t>
            </w:r>
          </w:p>
        </w:tc>
      </w:tr>
      <w:tr w:rsidR="00C830E1" w:rsidRPr="0059112B" w14:paraId="55A55CAB" w14:textId="77777777" w:rsidTr="00920CCC">
        <w:tc>
          <w:tcPr>
            <w:tcW w:w="567" w:type="dxa"/>
            <w:tcBorders>
              <w:top w:val="single" w:sz="4" w:space="0" w:color="auto"/>
              <w:bottom w:val="single" w:sz="4" w:space="0" w:color="auto"/>
            </w:tcBorders>
            <w:shd w:val="clear" w:color="auto" w:fill="auto"/>
          </w:tcPr>
          <w:p w14:paraId="159AA4AE" w14:textId="61EAFBF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lastRenderedPageBreak/>
              <w:t>36</w:t>
            </w:r>
          </w:p>
        </w:tc>
        <w:tc>
          <w:tcPr>
            <w:tcW w:w="2668" w:type="dxa"/>
            <w:shd w:val="clear" w:color="auto" w:fill="auto"/>
          </w:tcPr>
          <w:p w14:paraId="121E965E"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68AC76A2" w14:textId="658194AA"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3B50135F" w14:textId="22F795FA"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036</w:t>
            </w:r>
          </w:p>
        </w:tc>
        <w:tc>
          <w:tcPr>
            <w:tcW w:w="6237" w:type="dxa"/>
            <w:shd w:val="clear" w:color="auto" w:fill="auto"/>
          </w:tcPr>
          <w:p w14:paraId="5E0819C4" w14:textId="794D37D1" w:rsidR="00C830E1" w:rsidRPr="00627EBB" w:rsidRDefault="00C830E1" w:rsidP="00C830E1">
            <w:pPr>
              <w:jc w:val="both"/>
              <w:rPr>
                <w:rFonts w:ascii="Times New Roman" w:eastAsia="Times New Roman" w:hAnsi="Times New Roman" w:cs="Times New Roman"/>
                <w:b/>
                <w:sz w:val="24"/>
                <w:szCs w:val="24"/>
                <w:lang w:eastAsia="ru-RU"/>
              </w:rPr>
            </w:pPr>
            <w:r w:rsidRPr="00627EBB">
              <w:rPr>
                <w:rFonts w:ascii="Times New Roman" w:hAnsi="Times New Roman" w:cs="Times New Roman"/>
                <w:b/>
                <w:sz w:val="24"/>
                <w:szCs w:val="24"/>
                <w:lang w:eastAsia="uk-UA"/>
              </w:rPr>
              <w:t>Активи та фінансові зобов’язання, пов’язані з наданням експортних кредитів, забезпечені гарантією / резервним акредитивом Кабінету Міністрів України</w:t>
            </w:r>
          </w:p>
          <w:p w14:paraId="0A03FA48" w14:textId="5E950FBB" w:rsidR="00C830E1" w:rsidRPr="00627EBB" w:rsidRDefault="00C830E1" w:rsidP="00010B53">
            <w:pPr>
              <w:jc w:val="both"/>
              <w:rPr>
                <w:rFonts w:ascii="Times New Roman" w:eastAsia="Times New Roman" w:hAnsi="Times New Roman" w:cs="Times New Roman"/>
                <w:b/>
                <w:sz w:val="24"/>
                <w:szCs w:val="24"/>
                <w:lang w:eastAsia="uk-UA"/>
              </w:rPr>
            </w:pPr>
            <w:r w:rsidRPr="00627EBB">
              <w:rPr>
                <w:rFonts w:ascii="Times New Roman" w:hAnsi="Times New Roman" w:cs="Times New Roman"/>
                <w:sz w:val="24"/>
                <w:szCs w:val="24"/>
                <w:lang w:eastAsia="uk-UA"/>
              </w:rPr>
              <w:t xml:space="preserve">1. Сума, яка не включається до розрахунку  сукупних активів та позабалансових зобов’язань – </w:t>
            </w:r>
            <w:r w:rsidRPr="00627EBB">
              <w:rPr>
                <w:rFonts w:ascii="Times New Roman" w:eastAsia="Times New Roman" w:hAnsi="Times New Roman" w:cs="Times New Roman"/>
                <w:sz w:val="24"/>
                <w:szCs w:val="24"/>
                <w:lang w:eastAsia="ru-RU"/>
              </w:rPr>
              <w:t>сума балансової вартості / частини балансової вартості активів та/або фінансових зобов’язань в національній валюті (гривні), що пов’язані з наданням експортних кредитів, забезпечених гарантією / резервним акредитивом Кабінету Міністрів України в національній валюті (гривні)</w:t>
            </w:r>
            <w:r w:rsidRPr="00627EBB">
              <w:rPr>
                <w:rFonts w:ascii="Times New Roman" w:hAnsi="Times New Roman" w:cs="Times New Roman"/>
                <w:sz w:val="24"/>
                <w:szCs w:val="24"/>
                <w:lang w:eastAsia="uk-UA"/>
              </w:rPr>
              <w:t>, яку банк не включає до розрахунку сукупних активів та позабалансових зобов’язань згідно з</w:t>
            </w:r>
            <w:r w:rsidR="00177126" w:rsidRPr="00627EBB">
              <w:rPr>
                <w:rFonts w:ascii="Times New Roman" w:hAnsi="Times New Roman" w:cs="Times New Roman"/>
                <w:sz w:val="24"/>
                <w:szCs w:val="24"/>
                <w:lang w:eastAsia="uk-UA"/>
              </w:rPr>
              <w:t xml:space="preserve"> </w:t>
            </w:r>
            <w:r w:rsidR="00177126" w:rsidRPr="00627EBB">
              <w:rPr>
                <w:rFonts w:ascii="Times New Roman" w:eastAsia="Times New Roman" w:hAnsi="Times New Roman" w:cs="Times New Roman"/>
                <w:sz w:val="24"/>
                <w:szCs w:val="24"/>
                <w:lang w:eastAsia="ru-RU"/>
              </w:rPr>
              <w:t xml:space="preserve">абзацом другим підпункту 2 пункту 4 </w:t>
            </w:r>
            <w:r w:rsidR="00177126" w:rsidRPr="00627EBB">
              <w:rPr>
                <w:rFonts w:ascii="Times New Roman" w:hAnsi="Times New Roman" w:cs="Times New Roman"/>
                <w:sz w:val="24"/>
                <w:szCs w:val="24"/>
                <w:lang w:eastAsia="uk-UA"/>
              </w:rPr>
              <w:t xml:space="preserve">та </w:t>
            </w:r>
            <w:r w:rsidRPr="00627EBB">
              <w:rPr>
                <w:rFonts w:ascii="Times New Roman" w:hAnsi="Times New Roman" w:cs="Times New Roman"/>
                <w:sz w:val="24"/>
                <w:szCs w:val="24"/>
                <w:lang w:eastAsia="uk-UA"/>
              </w:rPr>
              <w:t>підпункт</w:t>
            </w:r>
            <w:r w:rsidR="004D5FD8" w:rsidRPr="00627EBB">
              <w:rPr>
                <w:rFonts w:ascii="Times New Roman" w:hAnsi="Times New Roman" w:cs="Times New Roman"/>
                <w:sz w:val="24"/>
                <w:szCs w:val="24"/>
                <w:lang w:eastAsia="uk-UA"/>
              </w:rPr>
              <w:t>ом</w:t>
            </w:r>
            <w:r w:rsidRPr="00627EBB">
              <w:rPr>
                <w:rFonts w:ascii="Times New Roman" w:hAnsi="Times New Roman" w:cs="Times New Roman"/>
                <w:sz w:val="24"/>
                <w:szCs w:val="24"/>
                <w:lang w:eastAsia="uk-UA"/>
              </w:rPr>
              <w:t xml:space="preserve"> 2 пункту</w:t>
            </w:r>
            <w:r w:rsidRPr="00627EBB">
              <w:rPr>
                <w:rFonts w:ascii="Times New Roman" w:hAnsi="Times New Roman" w:cs="Times New Roman"/>
                <w:sz w:val="24"/>
                <w:szCs w:val="24"/>
                <w:lang w:val="en-US" w:eastAsia="uk-UA"/>
              </w:rPr>
              <w:t> </w:t>
            </w:r>
            <w:r w:rsidRPr="00627EBB">
              <w:rPr>
                <w:rFonts w:ascii="Times New Roman" w:hAnsi="Times New Roman" w:cs="Times New Roman"/>
                <w:sz w:val="24"/>
                <w:szCs w:val="24"/>
                <w:lang w:eastAsia="uk-UA"/>
              </w:rPr>
              <w:t>10</w:t>
            </w:r>
            <w:r w:rsidR="00177126" w:rsidRPr="00627EBB">
              <w:rPr>
                <w:rFonts w:ascii="Times New Roman" w:hAnsi="Times New Roman" w:cs="Times New Roman"/>
                <w:sz w:val="24"/>
                <w:szCs w:val="24"/>
                <w:lang w:eastAsia="uk-UA"/>
              </w:rPr>
              <w:t xml:space="preserve"> </w:t>
            </w:r>
            <w:r w:rsidRPr="00627EBB">
              <w:rPr>
                <w:rFonts w:ascii="Times New Roman" w:hAnsi="Times New Roman" w:cs="Times New Roman"/>
                <w:sz w:val="24"/>
                <w:szCs w:val="24"/>
                <w:lang w:eastAsia="uk-UA"/>
              </w:rPr>
              <w:t>розділу І Положення № 89</w:t>
            </w:r>
            <w:r w:rsidR="00683EF7" w:rsidRPr="00627EBB">
              <w:rPr>
                <w:rFonts w:ascii="Times New Roman" w:hAnsi="Times New Roman" w:cs="Times New Roman"/>
                <w:sz w:val="24"/>
                <w:szCs w:val="24"/>
                <w:lang w:eastAsia="uk-UA"/>
              </w:rPr>
              <w:t>.</w:t>
            </w:r>
          </w:p>
        </w:tc>
      </w:tr>
      <w:tr w:rsidR="00C830E1" w:rsidRPr="0059112B" w14:paraId="717777B8" w14:textId="77777777" w:rsidTr="00920CCC">
        <w:trPr>
          <w:trHeight w:val="274"/>
        </w:trPr>
        <w:tc>
          <w:tcPr>
            <w:tcW w:w="567" w:type="dxa"/>
            <w:tcBorders>
              <w:top w:val="single" w:sz="4" w:space="0" w:color="auto"/>
              <w:bottom w:val="single" w:sz="4" w:space="0" w:color="auto"/>
            </w:tcBorders>
            <w:shd w:val="clear" w:color="auto" w:fill="auto"/>
          </w:tcPr>
          <w:p w14:paraId="492F2871" w14:textId="572E48A2" w:rsidR="00C830E1" w:rsidRPr="0059112B" w:rsidRDefault="00C830E1" w:rsidP="00C830E1">
            <w:pPr>
              <w:jc w:val="center"/>
              <w:rPr>
                <w:rFonts w:ascii="Times New Roman" w:hAnsi="Times New Roman" w:cs="Times New Roman"/>
                <w:sz w:val="24"/>
                <w:szCs w:val="24"/>
                <w:highlight w:val="yellow"/>
                <w:lang w:eastAsia="uk-UA"/>
              </w:rPr>
            </w:pPr>
            <w:r w:rsidRPr="0059112B">
              <w:rPr>
                <w:rFonts w:ascii="Times New Roman" w:hAnsi="Times New Roman" w:cs="Times New Roman"/>
                <w:sz w:val="24"/>
                <w:szCs w:val="24"/>
                <w:lang w:eastAsia="uk-UA"/>
              </w:rPr>
              <w:t>37</w:t>
            </w:r>
          </w:p>
        </w:tc>
        <w:tc>
          <w:tcPr>
            <w:tcW w:w="2668" w:type="dxa"/>
            <w:shd w:val="clear" w:color="auto" w:fill="auto"/>
          </w:tcPr>
          <w:p w14:paraId="3A7B3E55" w14:textId="77777777" w:rsidR="00C830E1" w:rsidRPr="0059112B" w:rsidRDefault="00C830E1" w:rsidP="00C830E1">
            <w:pPr>
              <w:jc w:val="center"/>
              <w:rPr>
                <w:rFonts w:ascii="Times New Roman" w:hAnsi="Times New Roman" w:cs="Times New Roman"/>
                <w:sz w:val="24"/>
                <w:szCs w:val="24"/>
                <w:lang w:eastAsia="uk-UA"/>
              </w:rPr>
            </w:pPr>
            <w:r w:rsidRPr="0059112B">
              <w:rPr>
                <w:rFonts w:ascii="Times New Roman" w:hAnsi="Times New Roman" w:cs="Times New Roman"/>
                <w:sz w:val="24"/>
                <w:szCs w:val="24"/>
                <w:lang w:eastAsia="uk-UA"/>
              </w:rPr>
              <w:t xml:space="preserve">Сукупні активи та позабалансові зобов’язання. </w:t>
            </w:r>
          </w:p>
          <w:p w14:paraId="312F5636" w14:textId="72A22BE5" w:rsidR="00C830E1" w:rsidRPr="0059112B" w:rsidRDefault="00C830E1" w:rsidP="00C830E1">
            <w:pPr>
              <w:jc w:val="center"/>
              <w:rPr>
                <w:rFonts w:ascii="Times New Roman" w:hAnsi="Times New Roman" w:cs="Times New Roman"/>
                <w:sz w:val="24"/>
                <w:szCs w:val="24"/>
                <w:lang w:eastAsia="uk-UA"/>
              </w:rPr>
            </w:pPr>
          </w:p>
        </w:tc>
        <w:tc>
          <w:tcPr>
            <w:tcW w:w="1019" w:type="dxa"/>
            <w:shd w:val="clear" w:color="auto" w:fill="auto"/>
          </w:tcPr>
          <w:p w14:paraId="000B2EC9" w14:textId="09FF2535" w:rsidR="00C830E1" w:rsidRPr="0059112B" w:rsidRDefault="00C830E1" w:rsidP="00C830E1">
            <w:pPr>
              <w:jc w:val="center"/>
              <w:rPr>
                <w:rFonts w:ascii="Times New Roman" w:hAnsi="Times New Roman" w:cs="Times New Roman"/>
                <w:bCs/>
                <w:sz w:val="24"/>
                <w:szCs w:val="24"/>
                <w:highlight w:val="yellow"/>
                <w:lang w:eastAsia="uk-UA"/>
              </w:rPr>
            </w:pPr>
            <w:r w:rsidRPr="0059112B">
              <w:rPr>
                <w:rFonts w:ascii="Times New Roman" w:eastAsia="Times New Roman" w:hAnsi="Times New Roman" w:cs="Times New Roman"/>
                <w:bCs/>
                <w:sz w:val="24"/>
                <w:szCs w:val="24"/>
                <w:lang w:eastAsia="uk-UA"/>
              </w:rPr>
              <w:t>A6</w:t>
            </w:r>
            <w:r w:rsidRPr="0059112B">
              <w:rPr>
                <w:rFonts w:ascii="Times New Roman" w:eastAsia="Times New Roman" w:hAnsi="Times New Roman" w:cs="Times New Roman"/>
                <w:bCs/>
                <w:sz w:val="24"/>
                <w:szCs w:val="24"/>
                <w:lang w:val="en-US" w:eastAsia="uk-UA"/>
              </w:rPr>
              <w:t>J</w:t>
            </w:r>
            <w:r w:rsidRPr="0059112B">
              <w:rPr>
                <w:rFonts w:ascii="Times New Roman" w:eastAsia="Times New Roman" w:hAnsi="Times New Roman" w:cs="Times New Roman"/>
                <w:bCs/>
                <w:sz w:val="24"/>
                <w:szCs w:val="24"/>
                <w:lang w:eastAsia="uk-UA"/>
              </w:rPr>
              <w:t>037</w:t>
            </w:r>
          </w:p>
        </w:tc>
        <w:tc>
          <w:tcPr>
            <w:tcW w:w="6237" w:type="dxa"/>
            <w:shd w:val="clear" w:color="auto" w:fill="auto"/>
          </w:tcPr>
          <w:p w14:paraId="110FD2C6" w14:textId="7DD535FC" w:rsidR="00C830E1" w:rsidRPr="00627EBB" w:rsidRDefault="00C830E1" w:rsidP="00C830E1">
            <w:pPr>
              <w:jc w:val="both"/>
              <w:rPr>
                <w:rFonts w:ascii="Times New Roman" w:eastAsia="Times New Roman" w:hAnsi="Times New Roman" w:cs="Times New Roman"/>
                <w:b/>
                <w:sz w:val="24"/>
                <w:szCs w:val="24"/>
                <w:lang w:eastAsia="ru-RU"/>
              </w:rPr>
            </w:pPr>
            <w:r w:rsidRPr="00627EBB">
              <w:rPr>
                <w:rFonts w:ascii="Times New Roman" w:hAnsi="Times New Roman" w:cs="Times New Roman"/>
                <w:b/>
                <w:sz w:val="24"/>
                <w:szCs w:val="24"/>
                <w:lang w:eastAsia="uk-UA"/>
              </w:rPr>
              <w:t>Активи та фінансові зобов’язання, пов’язані з наданням експортних кредитів, забезпечені гаранті</w:t>
            </w:r>
            <w:r w:rsidR="005F3A8E">
              <w:rPr>
                <w:rFonts w:ascii="Times New Roman" w:hAnsi="Times New Roman" w:cs="Times New Roman"/>
                <w:b/>
                <w:sz w:val="24"/>
                <w:szCs w:val="24"/>
                <w:lang w:eastAsia="uk-UA"/>
              </w:rPr>
              <w:t>ями</w:t>
            </w:r>
            <w:r w:rsidRPr="00627EBB">
              <w:rPr>
                <w:rFonts w:ascii="Times New Roman" w:hAnsi="Times New Roman" w:cs="Times New Roman"/>
                <w:b/>
                <w:sz w:val="24"/>
                <w:szCs w:val="24"/>
                <w:lang w:eastAsia="uk-UA"/>
              </w:rPr>
              <w:t> / резервним</w:t>
            </w:r>
            <w:r w:rsidR="005F3A8E">
              <w:rPr>
                <w:rFonts w:ascii="Times New Roman" w:hAnsi="Times New Roman" w:cs="Times New Roman"/>
                <w:b/>
                <w:sz w:val="24"/>
                <w:szCs w:val="24"/>
                <w:lang w:eastAsia="uk-UA"/>
              </w:rPr>
              <w:t>и</w:t>
            </w:r>
            <w:r w:rsidRPr="00627EBB">
              <w:rPr>
                <w:rFonts w:ascii="Times New Roman" w:hAnsi="Times New Roman" w:cs="Times New Roman"/>
                <w:b/>
                <w:sz w:val="24"/>
                <w:szCs w:val="24"/>
                <w:lang w:eastAsia="uk-UA"/>
              </w:rPr>
              <w:t xml:space="preserve"> акредитив</w:t>
            </w:r>
            <w:r w:rsidR="005F3A8E">
              <w:rPr>
                <w:rFonts w:ascii="Times New Roman" w:hAnsi="Times New Roman" w:cs="Times New Roman"/>
                <w:b/>
                <w:sz w:val="24"/>
                <w:szCs w:val="24"/>
                <w:lang w:eastAsia="uk-UA"/>
              </w:rPr>
              <w:t>ами</w:t>
            </w:r>
            <w:r w:rsidRPr="00627EBB">
              <w:rPr>
                <w:rFonts w:ascii="Times New Roman" w:hAnsi="Times New Roman" w:cs="Times New Roman"/>
                <w:b/>
                <w:sz w:val="24"/>
                <w:szCs w:val="24"/>
                <w:lang w:eastAsia="uk-UA"/>
              </w:rPr>
              <w:t xml:space="preserve"> </w:t>
            </w:r>
            <w:r w:rsidRPr="00627EBB">
              <w:rPr>
                <w:rFonts w:ascii="Times New Roman" w:eastAsia="Times New Roman" w:hAnsi="Times New Roman" w:cs="Times New Roman"/>
                <w:b/>
                <w:sz w:val="24"/>
                <w:szCs w:val="24"/>
                <w:lang w:eastAsia="ru-RU"/>
              </w:rPr>
              <w:t>центральних органів виконавчої влади іншої країни</w:t>
            </w:r>
          </w:p>
          <w:p w14:paraId="480E8E57" w14:textId="62CF3CBB" w:rsidR="00C830E1" w:rsidRPr="00627EBB" w:rsidRDefault="00C830E1" w:rsidP="00C830E1">
            <w:pPr>
              <w:jc w:val="both"/>
              <w:rPr>
                <w:rFonts w:ascii="Times New Roman" w:hAnsi="Times New Roman" w:cs="Times New Roman"/>
                <w:b/>
                <w:sz w:val="24"/>
                <w:szCs w:val="24"/>
                <w:lang w:eastAsia="uk-UA"/>
              </w:rPr>
            </w:pPr>
            <w:r w:rsidRPr="00627EBB">
              <w:rPr>
                <w:rFonts w:ascii="Times New Roman" w:hAnsi="Times New Roman" w:cs="Times New Roman"/>
                <w:sz w:val="24"/>
                <w:szCs w:val="24"/>
                <w:lang w:eastAsia="uk-UA"/>
              </w:rPr>
              <w:t>1. Сума, яка не включається до розрахунку сукупних активів та позабалансових зобов’язань – с</w:t>
            </w:r>
            <w:r w:rsidRPr="00627EBB">
              <w:rPr>
                <w:rFonts w:ascii="Times New Roman" w:eastAsia="Times New Roman" w:hAnsi="Times New Roman" w:cs="Times New Roman"/>
                <w:sz w:val="24"/>
                <w:szCs w:val="24"/>
                <w:lang w:eastAsia="ru-RU"/>
              </w:rPr>
              <w:t>ума балансової вартості / частини балансової вартості активів та/або фінансових зобов’язань, що пов’язані з наданням експортних кредитів, забезпечених гарантією / резервним акредитивом центральних органів виконавчої влади іншої країни, ніж Україна</w:t>
            </w:r>
            <w:r w:rsidRPr="00627EBB">
              <w:rPr>
                <w:rFonts w:ascii="Times New Roman" w:hAnsi="Times New Roman" w:cs="Times New Roman"/>
                <w:sz w:val="24"/>
                <w:szCs w:val="24"/>
                <w:lang w:eastAsia="uk-UA"/>
              </w:rPr>
              <w:t xml:space="preserve">, яку банк не включає до розрахунку сукупних активів та позабалансових зобов’язань згідно </w:t>
            </w:r>
            <w:r w:rsidR="00310245" w:rsidRPr="00627EBB">
              <w:rPr>
                <w:rFonts w:ascii="Times New Roman" w:hAnsi="Times New Roman" w:cs="Times New Roman"/>
                <w:sz w:val="24"/>
                <w:szCs w:val="24"/>
                <w:lang w:eastAsia="uk-UA"/>
              </w:rPr>
              <w:t xml:space="preserve">з </w:t>
            </w:r>
            <w:r w:rsidR="00310245" w:rsidRPr="00627EBB">
              <w:rPr>
                <w:rFonts w:ascii="Times New Roman" w:eastAsia="Times New Roman" w:hAnsi="Times New Roman" w:cs="Times New Roman"/>
                <w:sz w:val="24"/>
                <w:szCs w:val="24"/>
                <w:lang w:eastAsia="ru-RU"/>
              </w:rPr>
              <w:t>абзацом другим підпункту 2 пункту 4</w:t>
            </w:r>
            <w:r w:rsidR="00310245" w:rsidRPr="00627EBB">
              <w:rPr>
                <w:rFonts w:ascii="Times New Roman" w:hAnsi="Times New Roman" w:cs="Times New Roman"/>
                <w:sz w:val="24"/>
                <w:szCs w:val="24"/>
                <w:lang w:eastAsia="uk-UA"/>
              </w:rPr>
              <w:t xml:space="preserve"> та </w:t>
            </w:r>
            <w:r w:rsidRPr="00627EBB">
              <w:rPr>
                <w:rFonts w:ascii="Times New Roman" w:hAnsi="Times New Roman" w:cs="Times New Roman"/>
                <w:sz w:val="24"/>
                <w:szCs w:val="24"/>
                <w:lang w:eastAsia="uk-UA"/>
              </w:rPr>
              <w:t>підпунктом 3 пункту</w:t>
            </w:r>
            <w:r w:rsidRPr="00627EBB">
              <w:rPr>
                <w:rFonts w:ascii="Times New Roman" w:hAnsi="Times New Roman" w:cs="Times New Roman"/>
                <w:sz w:val="24"/>
                <w:szCs w:val="24"/>
                <w:lang w:val="en-US" w:eastAsia="uk-UA"/>
              </w:rPr>
              <w:t> </w:t>
            </w:r>
            <w:r w:rsidRPr="00627EBB">
              <w:rPr>
                <w:rFonts w:ascii="Times New Roman" w:hAnsi="Times New Roman" w:cs="Times New Roman"/>
                <w:sz w:val="24"/>
                <w:szCs w:val="24"/>
                <w:lang w:eastAsia="uk-UA"/>
              </w:rPr>
              <w:t>10 розділу І Положення № 89</w:t>
            </w:r>
            <w:r w:rsidR="00683EF7" w:rsidRPr="00627EBB">
              <w:rPr>
                <w:rFonts w:ascii="Times New Roman" w:hAnsi="Times New Roman" w:cs="Times New Roman"/>
                <w:sz w:val="24"/>
                <w:szCs w:val="24"/>
                <w:lang w:eastAsia="uk-UA"/>
              </w:rPr>
              <w:t>.</w:t>
            </w:r>
          </w:p>
        </w:tc>
      </w:tr>
      <w:tr w:rsidR="00AB125F" w:rsidRPr="00AB125F" w14:paraId="01A1B54F" w14:textId="77777777" w:rsidTr="00920CCC">
        <w:tc>
          <w:tcPr>
            <w:tcW w:w="567" w:type="dxa"/>
            <w:tcBorders>
              <w:top w:val="single" w:sz="4" w:space="0" w:color="auto"/>
              <w:bottom w:val="single" w:sz="4" w:space="0" w:color="auto"/>
            </w:tcBorders>
            <w:shd w:val="clear" w:color="auto" w:fill="auto"/>
          </w:tcPr>
          <w:p w14:paraId="2A2F8EF6" w14:textId="2449705F"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38</w:t>
            </w:r>
          </w:p>
        </w:tc>
        <w:tc>
          <w:tcPr>
            <w:tcW w:w="2668" w:type="dxa"/>
            <w:shd w:val="clear" w:color="auto" w:fill="auto"/>
          </w:tcPr>
          <w:p w14:paraId="79903E14"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7D8C4D21" w14:textId="3A970B0F"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0A77DC0F" w14:textId="4B2875D5"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038</w:t>
            </w:r>
          </w:p>
        </w:tc>
        <w:tc>
          <w:tcPr>
            <w:tcW w:w="6237" w:type="dxa"/>
            <w:shd w:val="clear" w:color="auto" w:fill="auto"/>
          </w:tcPr>
          <w:p w14:paraId="77807006" w14:textId="05620BBB"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Активи за операціями з центральним контрагентом на користь клієнта</w:t>
            </w:r>
          </w:p>
          <w:p w14:paraId="3341E2AC" w14:textId="08768219" w:rsidR="00C830E1" w:rsidRPr="00AB125F" w:rsidRDefault="00C830E1" w:rsidP="00C830E1">
            <w:pPr>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hAnsi="Times New Roman" w:cs="Times New Roman"/>
                <w:sz w:val="24"/>
                <w:szCs w:val="24"/>
                <w:lang w:eastAsia="uk-UA"/>
              </w:rPr>
              <w:t>Сума, яка не включається до розрахунку  сукупних активів та позабалансових зобов’язань – с</w:t>
            </w:r>
            <w:r w:rsidRPr="00AB125F">
              <w:rPr>
                <w:rFonts w:ascii="Times New Roman" w:eastAsia="Times New Roman" w:hAnsi="Times New Roman" w:cs="Times New Roman"/>
                <w:sz w:val="24"/>
                <w:szCs w:val="24"/>
                <w:lang w:eastAsia="ru-RU"/>
              </w:rPr>
              <w:t xml:space="preserve">ума балансової вартості активів, що виникли унаслідок здійснення банком, який є учасником клірингу, операцій з центральним контрагентом щодо цінних паперів / деривативів на користь клієнта, </w:t>
            </w:r>
            <w:r w:rsidRPr="00AB125F">
              <w:rPr>
                <w:rFonts w:ascii="Times New Roman" w:hAnsi="Times New Roman" w:cs="Times New Roman"/>
                <w:sz w:val="24"/>
                <w:szCs w:val="24"/>
                <w:lang w:eastAsia="uk-UA"/>
              </w:rPr>
              <w:t>яку банк не включає до розрахунку сукупних активів та позабалансових зобов’язань згідно</w:t>
            </w:r>
            <w:r w:rsidR="00682C66" w:rsidRPr="00AB125F">
              <w:rPr>
                <w:rFonts w:ascii="Times New Roman" w:hAnsi="Times New Roman" w:cs="Times New Roman"/>
                <w:sz w:val="24"/>
                <w:szCs w:val="24"/>
                <w:lang w:eastAsia="uk-UA"/>
              </w:rPr>
              <w:t xml:space="preserve"> з </w:t>
            </w:r>
            <w:r w:rsidR="00682C66" w:rsidRPr="00AB125F">
              <w:rPr>
                <w:rFonts w:ascii="Times New Roman" w:eastAsia="Times New Roman" w:hAnsi="Times New Roman" w:cs="Times New Roman"/>
                <w:sz w:val="24"/>
                <w:szCs w:val="24"/>
                <w:lang w:eastAsia="ru-RU"/>
              </w:rPr>
              <w:t>абзацом другим підпункту 2 пункту 4</w:t>
            </w:r>
            <w:r w:rsidR="00FC3A55" w:rsidRPr="00AB125F">
              <w:rPr>
                <w:rFonts w:ascii="Times New Roman" w:eastAsia="Times New Roman" w:hAnsi="Times New Roman" w:cs="Times New Roman"/>
                <w:sz w:val="24"/>
                <w:szCs w:val="24"/>
                <w:lang w:eastAsia="ru-RU"/>
              </w:rPr>
              <w:t xml:space="preserve"> та </w:t>
            </w:r>
            <w:r w:rsidRPr="00AB125F">
              <w:rPr>
                <w:rFonts w:ascii="Times New Roman" w:hAnsi="Times New Roman" w:cs="Times New Roman"/>
                <w:sz w:val="24"/>
                <w:szCs w:val="24"/>
                <w:lang w:eastAsia="uk-UA"/>
              </w:rPr>
              <w:t>підпунктом 4 пункту 10 розділу І Положення № 8</w:t>
            </w:r>
            <w:r w:rsidR="00FC3A55" w:rsidRPr="00AB125F">
              <w:rPr>
                <w:rFonts w:ascii="Times New Roman" w:hAnsi="Times New Roman" w:cs="Times New Roman"/>
                <w:sz w:val="24"/>
                <w:szCs w:val="24"/>
                <w:lang w:eastAsia="uk-UA"/>
              </w:rPr>
              <w:t>9.</w:t>
            </w:r>
          </w:p>
        </w:tc>
      </w:tr>
      <w:tr w:rsidR="00AB125F" w:rsidRPr="00AB125F" w14:paraId="6D8C2500" w14:textId="77777777" w:rsidTr="00920CCC">
        <w:tc>
          <w:tcPr>
            <w:tcW w:w="567" w:type="dxa"/>
            <w:tcBorders>
              <w:top w:val="single" w:sz="4" w:space="0" w:color="auto"/>
              <w:bottom w:val="single" w:sz="4" w:space="0" w:color="auto"/>
            </w:tcBorders>
            <w:shd w:val="clear" w:color="auto" w:fill="auto"/>
          </w:tcPr>
          <w:p w14:paraId="290AA20E" w14:textId="3371755D"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39</w:t>
            </w:r>
          </w:p>
        </w:tc>
        <w:tc>
          <w:tcPr>
            <w:tcW w:w="2668" w:type="dxa"/>
            <w:shd w:val="clear" w:color="auto" w:fill="auto"/>
          </w:tcPr>
          <w:p w14:paraId="2DAA7A61"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17F7C164" w14:textId="329A59E2"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16C2C5B0" w14:textId="5BA88806"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039</w:t>
            </w:r>
          </w:p>
        </w:tc>
        <w:tc>
          <w:tcPr>
            <w:tcW w:w="6237" w:type="dxa"/>
            <w:shd w:val="clear" w:color="auto" w:fill="auto"/>
          </w:tcPr>
          <w:p w14:paraId="098346BC" w14:textId="53F89F43"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Активи за операціями Центрального депозитарію цінних паперів</w:t>
            </w:r>
          </w:p>
          <w:p w14:paraId="4926B8CB" w14:textId="4A6656C2" w:rsidR="00C830E1" w:rsidRPr="00AB125F" w:rsidRDefault="00C830E1" w:rsidP="00B5711D">
            <w:pPr>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hAnsi="Times New Roman" w:cs="Times New Roman"/>
                <w:sz w:val="24"/>
                <w:szCs w:val="24"/>
                <w:lang w:eastAsia="uk-UA"/>
              </w:rPr>
              <w:t>Сума, яка не включається до розрахунку сукупних активів та позабалансових зобов’язань</w:t>
            </w:r>
            <w:r w:rsidRPr="00AB125F">
              <w:rPr>
                <w:rFonts w:ascii="Times New Roman" w:eastAsia="Times New Roman" w:hAnsi="Times New Roman" w:cs="Times New Roman"/>
                <w:sz w:val="24"/>
                <w:szCs w:val="24"/>
                <w:lang w:eastAsia="ru-RU"/>
              </w:rPr>
              <w:t xml:space="preserve"> – сума балансової вартості активів, що виникли унаслідок здійснення банком розрахунків за операціями Центрального </w:t>
            </w:r>
            <w:r w:rsidRPr="00AB125F">
              <w:rPr>
                <w:rFonts w:ascii="Times New Roman" w:eastAsia="Times New Roman" w:hAnsi="Times New Roman" w:cs="Times New Roman"/>
                <w:sz w:val="24"/>
                <w:szCs w:val="24"/>
                <w:lang w:eastAsia="ru-RU"/>
              </w:rPr>
              <w:lastRenderedPageBreak/>
              <w:t>депозитарію цінних паперів, яку банк не включає до розрахунку сукупних активів та позабалансових</w:t>
            </w:r>
            <w:r w:rsidRPr="00AB125F">
              <w:rPr>
                <w:rFonts w:ascii="Times New Roman" w:hAnsi="Times New Roman" w:cs="Times New Roman"/>
                <w:sz w:val="24"/>
                <w:szCs w:val="24"/>
                <w:lang w:eastAsia="uk-UA"/>
              </w:rPr>
              <w:t xml:space="preserve"> зобов’язань згідно </w:t>
            </w:r>
            <w:r w:rsidR="00FC3A55" w:rsidRPr="00AB125F">
              <w:rPr>
                <w:rFonts w:ascii="Times New Roman" w:hAnsi="Times New Roman" w:cs="Times New Roman"/>
                <w:sz w:val="24"/>
                <w:szCs w:val="24"/>
                <w:lang w:eastAsia="uk-UA"/>
              </w:rPr>
              <w:t xml:space="preserve">з </w:t>
            </w:r>
            <w:r w:rsidR="00FC3A55" w:rsidRPr="00AB125F">
              <w:rPr>
                <w:rFonts w:ascii="Times New Roman" w:eastAsia="Times New Roman" w:hAnsi="Times New Roman" w:cs="Times New Roman"/>
                <w:sz w:val="24"/>
                <w:szCs w:val="24"/>
                <w:lang w:eastAsia="ru-RU"/>
              </w:rPr>
              <w:t>абзацом другим підпункту 2 пункту 4</w:t>
            </w:r>
            <w:r w:rsidR="00B17903" w:rsidRPr="00AB125F">
              <w:rPr>
                <w:rFonts w:ascii="Times New Roman" w:eastAsia="Times New Roman" w:hAnsi="Times New Roman" w:cs="Times New Roman"/>
                <w:sz w:val="24"/>
                <w:szCs w:val="24"/>
                <w:lang w:eastAsia="ru-RU"/>
              </w:rPr>
              <w:t xml:space="preserve"> та </w:t>
            </w:r>
            <w:r w:rsidRPr="00AB125F">
              <w:rPr>
                <w:rFonts w:ascii="Times New Roman" w:hAnsi="Times New Roman" w:cs="Times New Roman"/>
                <w:sz w:val="24"/>
                <w:szCs w:val="24"/>
                <w:lang w:eastAsia="uk-UA"/>
              </w:rPr>
              <w:t>підпунктом 5 пункту</w:t>
            </w:r>
            <w:r w:rsidRPr="00AB125F">
              <w:rPr>
                <w:rFonts w:ascii="Times New Roman" w:hAnsi="Times New Roman" w:cs="Times New Roman"/>
                <w:sz w:val="24"/>
                <w:szCs w:val="24"/>
                <w:lang w:val="en-US" w:eastAsia="uk-UA"/>
              </w:rPr>
              <w:t> </w:t>
            </w:r>
            <w:r w:rsidRPr="00AB125F">
              <w:rPr>
                <w:rFonts w:ascii="Times New Roman" w:hAnsi="Times New Roman" w:cs="Times New Roman"/>
                <w:sz w:val="24"/>
                <w:szCs w:val="24"/>
                <w:lang w:eastAsia="uk-UA"/>
              </w:rPr>
              <w:t>10 розділу І Положення № 89</w:t>
            </w:r>
            <w:r w:rsidR="00B17903" w:rsidRPr="00AB125F">
              <w:rPr>
                <w:rFonts w:ascii="Times New Roman" w:hAnsi="Times New Roman" w:cs="Times New Roman"/>
                <w:sz w:val="24"/>
                <w:szCs w:val="24"/>
                <w:lang w:eastAsia="uk-UA"/>
              </w:rPr>
              <w:t>.</w:t>
            </w:r>
          </w:p>
        </w:tc>
      </w:tr>
      <w:tr w:rsidR="00AB125F" w:rsidRPr="00AB125F" w14:paraId="7219A06D" w14:textId="77777777" w:rsidTr="00920CCC">
        <w:tc>
          <w:tcPr>
            <w:tcW w:w="567" w:type="dxa"/>
            <w:tcBorders>
              <w:top w:val="single" w:sz="4" w:space="0" w:color="auto"/>
            </w:tcBorders>
            <w:shd w:val="clear" w:color="auto" w:fill="auto"/>
          </w:tcPr>
          <w:p w14:paraId="09E8F878" w14:textId="55022B57"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lastRenderedPageBreak/>
              <w:t>40</w:t>
            </w:r>
          </w:p>
        </w:tc>
        <w:tc>
          <w:tcPr>
            <w:tcW w:w="2668" w:type="dxa"/>
            <w:shd w:val="clear" w:color="auto" w:fill="auto"/>
          </w:tcPr>
          <w:p w14:paraId="0025B17C" w14:textId="77777777" w:rsidR="00C830E1" w:rsidRPr="00AB125F" w:rsidRDefault="00C830E1" w:rsidP="00C830E1">
            <w:pPr>
              <w:jc w:val="center"/>
              <w:rPr>
                <w:rFonts w:ascii="Times New Roman" w:hAnsi="Times New Roman" w:cs="Times New Roman"/>
                <w:sz w:val="24"/>
                <w:szCs w:val="24"/>
                <w:lang w:eastAsia="uk-UA"/>
              </w:rPr>
            </w:pPr>
            <w:r w:rsidRPr="00AB125F">
              <w:rPr>
                <w:rFonts w:ascii="Times New Roman" w:hAnsi="Times New Roman" w:cs="Times New Roman"/>
                <w:sz w:val="24"/>
                <w:szCs w:val="24"/>
                <w:lang w:eastAsia="uk-UA"/>
              </w:rPr>
              <w:t xml:space="preserve">Сукупні активи та позабалансові зобов’язання. </w:t>
            </w:r>
          </w:p>
          <w:p w14:paraId="4990D95A" w14:textId="0140BF54" w:rsidR="00C830E1" w:rsidRPr="00AB125F" w:rsidRDefault="00C830E1" w:rsidP="00C830E1">
            <w:pPr>
              <w:jc w:val="center"/>
              <w:rPr>
                <w:rFonts w:ascii="Times New Roman" w:eastAsia="Times New Roman" w:hAnsi="Times New Roman" w:cs="Times New Roman"/>
                <w:sz w:val="24"/>
                <w:szCs w:val="24"/>
                <w:lang w:eastAsia="ru-RU"/>
              </w:rPr>
            </w:pPr>
          </w:p>
        </w:tc>
        <w:tc>
          <w:tcPr>
            <w:tcW w:w="1019" w:type="dxa"/>
            <w:shd w:val="clear" w:color="auto" w:fill="auto"/>
          </w:tcPr>
          <w:p w14:paraId="54EF2FA8" w14:textId="509A83A1" w:rsidR="00C830E1" w:rsidRPr="00AB125F" w:rsidRDefault="00C830E1" w:rsidP="00C830E1">
            <w:pPr>
              <w:jc w:val="center"/>
              <w:rPr>
                <w:rFonts w:ascii="Times New Roman" w:eastAsia="Times New Roman" w:hAnsi="Times New Roman" w:cs="Times New Roman"/>
                <w:sz w:val="24"/>
                <w:szCs w:val="24"/>
                <w:lang w:eastAsia="ru-RU"/>
              </w:rPr>
            </w:pPr>
            <w:r w:rsidRPr="00AB125F">
              <w:rPr>
                <w:rFonts w:ascii="Times New Roman" w:eastAsia="Times New Roman" w:hAnsi="Times New Roman" w:cs="Times New Roman"/>
                <w:bCs/>
                <w:sz w:val="24"/>
                <w:szCs w:val="24"/>
                <w:lang w:eastAsia="uk-UA"/>
              </w:rPr>
              <w:t>A6</w:t>
            </w:r>
            <w:r w:rsidRPr="00AB125F">
              <w:rPr>
                <w:rFonts w:ascii="Times New Roman" w:eastAsia="Times New Roman" w:hAnsi="Times New Roman" w:cs="Times New Roman"/>
                <w:bCs/>
                <w:sz w:val="24"/>
                <w:szCs w:val="24"/>
                <w:lang w:val="en-US" w:eastAsia="uk-UA"/>
              </w:rPr>
              <w:t>J</w:t>
            </w:r>
            <w:r w:rsidRPr="00AB125F">
              <w:rPr>
                <w:rFonts w:ascii="Times New Roman" w:eastAsia="Times New Roman" w:hAnsi="Times New Roman" w:cs="Times New Roman"/>
                <w:bCs/>
                <w:sz w:val="24"/>
                <w:szCs w:val="24"/>
                <w:lang w:eastAsia="uk-UA"/>
              </w:rPr>
              <w:t>040</w:t>
            </w:r>
          </w:p>
        </w:tc>
        <w:tc>
          <w:tcPr>
            <w:tcW w:w="6237" w:type="dxa"/>
            <w:shd w:val="clear" w:color="auto" w:fill="auto"/>
          </w:tcPr>
          <w:p w14:paraId="1C5A9CD7" w14:textId="2ECF9752" w:rsidR="00C830E1" w:rsidRPr="00AB125F" w:rsidRDefault="00C830E1" w:rsidP="00C830E1">
            <w:pPr>
              <w:jc w:val="both"/>
              <w:rPr>
                <w:rFonts w:ascii="Times New Roman" w:eastAsia="Times New Roman" w:hAnsi="Times New Roman" w:cs="Times New Roman"/>
                <w:b/>
                <w:sz w:val="24"/>
                <w:szCs w:val="24"/>
                <w:lang w:eastAsia="ru-RU"/>
              </w:rPr>
            </w:pPr>
            <w:r w:rsidRPr="00AB125F">
              <w:rPr>
                <w:rFonts w:ascii="Times New Roman" w:eastAsia="Times New Roman" w:hAnsi="Times New Roman" w:cs="Times New Roman"/>
                <w:b/>
                <w:sz w:val="24"/>
                <w:szCs w:val="24"/>
                <w:lang w:eastAsia="ru-RU"/>
              </w:rPr>
              <w:t xml:space="preserve">Активи в довірчому управлінні, які не включаються до розрахунку сукупних активів та позабалансових зобов’язань  </w:t>
            </w:r>
          </w:p>
          <w:p w14:paraId="77041153" w14:textId="0BAF513A" w:rsidR="00C830E1" w:rsidRPr="00AB125F" w:rsidRDefault="00C830E1" w:rsidP="002C2038">
            <w:pPr>
              <w:pStyle w:val="a3"/>
              <w:ind w:left="0" w:firstLine="142"/>
              <w:jc w:val="both"/>
              <w:rPr>
                <w:rFonts w:ascii="Times New Roman" w:eastAsia="Times New Roman" w:hAnsi="Times New Roman" w:cs="Times New Roman"/>
                <w:sz w:val="24"/>
                <w:szCs w:val="24"/>
                <w:lang w:eastAsia="ru-RU"/>
              </w:rPr>
            </w:pPr>
            <w:r w:rsidRPr="00AB125F">
              <w:rPr>
                <w:rFonts w:ascii="Times New Roman" w:eastAsia="Times New Roman" w:hAnsi="Times New Roman" w:cs="Times New Roman"/>
                <w:sz w:val="24"/>
                <w:szCs w:val="24"/>
                <w:lang w:eastAsia="ru-RU"/>
              </w:rPr>
              <w:t xml:space="preserve">1. </w:t>
            </w:r>
            <w:r w:rsidRPr="00AB125F">
              <w:rPr>
                <w:rFonts w:ascii="Times New Roman" w:eastAsia="Times New Roman" w:hAnsi="Times New Roman" w:cs="Times New Roman"/>
                <w:sz w:val="24"/>
                <w:szCs w:val="24"/>
                <w:lang w:val="en-US" w:eastAsia="ru-RU"/>
              </w:rPr>
              <w:t>C</w:t>
            </w:r>
            <w:r w:rsidRPr="00AB125F">
              <w:rPr>
                <w:rFonts w:ascii="Times New Roman" w:eastAsia="Times New Roman" w:hAnsi="Times New Roman" w:cs="Times New Roman"/>
                <w:sz w:val="24"/>
                <w:szCs w:val="24"/>
                <w:lang w:eastAsia="ru-RU"/>
              </w:rPr>
              <w:t>ума балансової вартості активів, що перебувають в довірчому управлінні банку на підставі договору управління майном</w:t>
            </w:r>
            <w:r w:rsidR="00E8713A" w:rsidRPr="00AB125F">
              <w:rPr>
                <w:rFonts w:ascii="Times New Roman" w:eastAsia="Times New Roman" w:hAnsi="Times New Roman" w:cs="Times New Roman"/>
                <w:sz w:val="24"/>
                <w:szCs w:val="24"/>
                <w:lang w:eastAsia="ru-RU"/>
              </w:rPr>
              <w:t xml:space="preserve">, </w:t>
            </w:r>
            <w:r w:rsidRPr="00AB125F">
              <w:rPr>
                <w:rFonts w:ascii="Times New Roman" w:eastAsia="Times New Roman" w:hAnsi="Times New Roman" w:cs="Times New Roman"/>
                <w:sz w:val="24"/>
                <w:szCs w:val="24"/>
                <w:lang w:eastAsia="ru-RU"/>
              </w:rPr>
              <w:t>яку банк не включає до розрахунку сукупних активів та позабалансових</w:t>
            </w:r>
            <w:r w:rsidRPr="00AB125F">
              <w:rPr>
                <w:rFonts w:ascii="Times New Roman" w:hAnsi="Times New Roman" w:cs="Times New Roman"/>
                <w:sz w:val="24"/>
                <w:szCs w:val="24"/>
                <w:lang w:eastAsia="uk-UA"/>
              </w:rPr>
              <w:t xml:space="preserve"> зобов’язань згідно </w:t>
            </w:r>
            <w:r w:rsidR="00E159E3" w:rsidRPr="00AB125F">
              <w:rPr>
                <w:rFonts w:ascii="Times New Roman" w:hAnsi="Times New Roman" w:cs="Times New Roman"/>
                <w:sz w:val="24"/>
                <w:szCs w:val="24"/>
                <w:lang w:eastAsia="uk-UA"/>
              </w:rPr>
              <w:t xml:space="preserve">з </w:t>
            </w:r>
            <w:r w:rsidR="00E159E3" w:rsidRPr="00AB125F">
              <w:rPr>
                <w:rFonts w:ascii="Times New Roman" w:eastAsia="Times New Roman" w:hAnsi="Times New Roman" w:cs="Times New Roman"/>
                <w:sz w:val="24"/>
                <w:szCs w:val="24"/>
                <w:lang w:eastAsia="ru-RU"/>
              </w:rPr>
              <w:t>абзацом другим підпункту 2 пункту 4</w:t>
            </w:r>
            <w:r w:rsidRPr="00AB125F">
              <w:rPr>
                <w:rFonts w:ascii="Times New Roman" w:hAnsi="Times New Roman" w:cs="Times New Roman"/>
                <w:sz w:val="24"/>
                <w:szCs w:val="24"/>
                <w:lang w:eastAsia="uk-UA"/>
              </w:rPr>
              <w:t xml:space="preserve"> </w:t>
            </w:r>
            <w:r w:rsidR="00E159E3" w:rsidRPr="00AB125F">
              <w:rPr>
                <w:rFonts w:ascii="Times New Roman" w:hAnsi="Times New Roman" w:cs="Times New Roman"/>
                <w:sz w:val="24"/>
                <w:szCs w:val="24"/>
                <w:lang w:eastAsia="uk-UA"/>
              </w:rPr>
              <w:t xml:space="preserve">та </w:t>
            </w:r>
            <w:r w:rsidRPr="00AB125F">
              <w:rPr>
                <w:rFonts w:ascii="Times New Roman" w:hAnsi="Times New Roman" w:cs="Times New Roman"/>
                <w:sz w:val="24"/>
                <w:szCs w:val="24"/>
                <w:lang w:eastAsia="uk-UA"/>
              </w:rPr>
              <w:t>підпунктом 6 пункту 10 розділу І Положення № 89</w:t>
            </w:r>
            <w:r w:rsidR="00F56E6C" w:rsidRPr="00AB125F">
              <w:rPr>
                <w:rFonts w:ascii="Times New Roman" w:hAnsi="Times New Roman" w:cs="Times New Roman"/>
                <w:sz w:val="24"/>
                <w:szCs w:val="24"/>
                <w:lang w:eastAsia="uk-UA"/>
              </w:rPr>
              <w:t>,</w:t>
            </w:r>
            <w:r w:rsidR="004D30D3" w:rsidRPr="00AB125F">
              <w:rPr>
                <w:rFonts w:ascii="Times New Roman" w:hAnsi="Times New Roman" w:cs="Times New Roman"/>
                <w:sz w:val="24"/>
                <w:szCs w:val="24"/>
                <w:lang w:eastAsia="uk-UA"/>
              </w:rPr>
              <w:t xml:space="preserve"> з у</w:t>
            </w:r>
            <w:r w:rsidR="004E3F6C" w:rsidRPr="00AB125F">
              <w:rPr>
                <w:rFonts w:ascii="Times New Roman" w:hAnsi="Times New Roman" w:cs="Times New Roman"/>
                <w:sz w:val="24"/>
                <w:szCs w:val="24"/>
                <w:lang w:eastAsia="uk-UA"/>
              </w:rPr>
              <w:t>рахуванням</w:t>
            </w:r>
            <w:r w:rsidR="00F56E6C" w:rsidRPr="00AB125F">
              <w:rPr>
                <w:rFonts w:ascii="Times New Roman" w:eastAsia="Times New Roman" w:hAnsi="Times New Roman" w:cs="Times New Roman"/>
                <w:sz w:val="24"/>
                <w:szCs w:val="24"/>
                <w:lang w:eastAsia="ru-RU"/>
              </w:rPr>
              <w:t xml:space="preserve"> </w:t>
            </w:r>
            <w:r w:rsidR="00D10BAD" w:rsidRPr="00AB125F">
              <w:rPr>
                <w:rFonts w:ascii="Times New Roman" w:hAnsi="Times New Roman" w:cs="Times New Roman"/>
                <w:sz w:val="24"/>
                <w:szCs w:val="24"/>
                <w:lang w:eastAsia="uk-UA"/>
              </w:rPr>
              <w:t>R020(GR978)/T020(1).</w:t>
            </w:r>
          </w:p>
        </w:tc>
      </w:tr>
    </w:tbl>
    <w:p w14:paraId="0028E10E" w14:textId="77777777" w:rsidR="003134AF" w:rsidRPr="006A6C3E" w:rsidRDefault="003134AF" w:rsidP="00920CCC">
      <w:pPr>
        <w:pStyle w:val="a3"/>
        <w:tabs>
          <w:tab w:val="left" w:pos="0"/>
        </w:tabs>
        <w:spacing w:after="0" w:line="240" w:lineRule="auto"/>
        <w:ind w:left="0"/>
        <w:contextualSpacing w:val="0"/>
        <w:jc w:val="both"/>
        <w:rPr>
          <w:rFonts w:ascii="Times New Roman" w:eastAsia="Times New Roman" w:hAnsi="Times New Roman" w:cs="Times New Roman"/>
          <w:sz w:val="24"/>
          <w:szCs w:val="24"/>
          <w:lang w:eastAsia="ru-RU"/>
        </w:rPr>
      </w:pPr>
    </w:p>
    <w:sectPr w:rsidR="003134AF" w:rsidRPr="006A6C3E" w:rsidSect="004B6832">
      <w:pgSz w:w="11906" w:h="16838"/>
      <w:pgMar w:top="567"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A0DD" w14:textId="77777777" w:rsidR="00C42CDD" w:rsidRDefault="00C42CDD" w:rsidP="008E511E">
      <w:pPr>
        <w:spacing w:after="0" w:line="240" w:lineRule="auto"/>
      </w:pPr>
      <w:r>
        <w:separator/>
      </w:r>
    </w:p>
  </w:endnote>
  <w:endnote w:type="continuationSeparator" w:id="0">
    <w:p w14:paraId="29F47B94" w14:textId="77777777" w:rsidR="00C42CDD" w:rsidRDefault="00C42CDD" w:rsidP="008E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CBEF" w14:textId="77777777" w:rsidR="00C42CDD" w:rsidRDefault="00C42CDD" w:rsidP="008E511E">
      <w:pPr>
        <w:spacing w:after="0" w:line="240" w:lineRule="auto"/>
      </w:pPr>
      <w:r>
        <w:separator/>
      </w:r>
    </w:p>
  </w:footnote>
  <w:footnote w:type="continuationSeparator" w:id="0">
    <w:p w14:paraId="3724C476" w14:textId="77777777" w:rsidR="00C42CDD" w:rsidRDefault="00C42CDD" w:rsidP="008E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614"/>
    <w:multiLevelType w:val="hybridMultilevel"/>
    <w:tmpl w:val="B13A85EE"/>
    <w:lvl w:ilvl="0" w:tplc="EABAAA12">
      <w:start w:val="1"/>
      <w:numFmt w:val="decimal"/>
      <w:lvlText w:val="%1."/>
      <w:lvlJc w:val="left"/>
      <w:pPr>
        <w:ind w:left="644" w:hanging="360"/>
      </w:pPr>
      <w:rPr>
        <w:rFonts w:ascii="Times New Roman" w:hAnsi="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DDB485A"/>
    <w:multiLevelType w:val="hybridMultilevel"/>
    <w:tmpl w:val="FC04E04E"/>
    <w:lvl w:ilvl="0" w:tplc="34621C1E">
      <w:start w:val="1"/>
      <w:numFmt w:val="decimal"/>
      <w:lvlText w:val="%1."/>
      <w:lvlJc w:val="left"/>
      <w:pPr>
        <w:ind w:left="740" w:hanging="3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D80AA1"/>
    <w:multiLevelType w:val="hybridMultilevel"/>
    <w:tmpl w:val="46ACA8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295DB2"/>
    <w:multiLevelType w:val="hybridMultilevel"/>
    <w:tmpl w:val="6F2663D2"/>
    <w:lvl w:ilvl="0" w:tplc="282C8C0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736249"/>
    <w:multiLevelType w:val="hybridMultilevel"/>
    <w:tmpl w:val="F976AA22"/>
    <w:lvl w:ilvl="0" w:tplc="F4DC4F98">
      <w:start w:val="1"/>
      <w:numFmt w:val="decimal"/>
      <w:lvlText w:val="%1."/>
      <w:lvlJc w:val="left"/>
      <w:pPr>
        <w:ind w:left="740" w:hanging="38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032515A"/>
    <w:multiLevelType w:val="hybridMultilevel"/>
    <w:tmpl w:val="929E24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2C75244"/>
    <w:multiLevelType w:val="hybridMultilevel"/>
    <w:tmpl w:val="335A5BFA"/>
    <w:lvl w:ilvl="0" w:tplc="AE8817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06A7E66"/>
    <w:multiLevelType w:val="multilevel"/>
    <w:tmpl w:val="3990AB0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89146F1"/>
    <w:multiLevelType w:val="hybridMultilevel"/>
    <w:tmpl w:val="DF960CF2"/>
    <w:lvl w:ilvl="0" w:tplc="530A2A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BE27D71"/>
    <w:multiLevelType w:val="hybridMultilevel"/>
    <w:tmpl w:val="01C424A6"/>
    <w:lvl w:ilvl="0" w:tplc="0BFE8ABE">
      <w:start w:val="1"/>
      <w:numFmt w:val="decimal"/>
      <w:lvlText w:val="%1."/>
      <w:lvlJc w:val="left"/>
      <w:pPr>
        <w:ind w:left="740" w:hanging="38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775DA7"/>
    <w:multiLevelType w:val="hybridMultilevel"/>
    <w:tmpl w:val="55F2ACE2"/>
    <w:lvl w:ilvl="0" w:tplc="1FF8D3A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091F03"/>
    <w:multiLevelType w:val="hybridMultilevel"/>
    <w:tmpl w:val="E1F2AAB6"/>
    <w:lvl w:ilvl="0" w:tplc="0B3EA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0"/>
  </w:num>
  <w:num w:numId="3">
    <w:abstractNumId w:val="4"/>
  </w:num>
  <w:num w:numId="4">
    <w:abstractNumId w:val="12"/>
  </w:num>
  <w:num w:numId="5">
    <w:abstractNumId w:val="10"/>
  </w:num>
  <w:num w:numId="6">
    <w:abstractNumId w:val="1"/>
  </w:num>
  <w:num w:numId="7">
    <w:abstractNumId w:val="5"/>
  </w:num>
  <w:num w:numId="8">
    <w:abstractNumId w:val="2"/>
  </w:num>
  <w:num w:numId="9">
    <w:abstractNumId w:val="6"/>
  </w:num>
  <w:num w:numId="10">
    <w:abstractNumId w:val="9"/>
  </w:num>
  <w:num w:numId="11">
    <w:abstractNumId w:val="7"/>
  </w:num>
  <w:num w:numId="12">
    <w:abstractNumId w:val="8"/>
  </w:num>
  <w:num w:numId="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09"/>
    <w:rsid w:val="00000066"/>
    <w:rsid w:val="0000036E"/>
    <w:rsid w:val="000005A7"/>
    <w:rsid w:val="00001A4A"/>
    <w:rsid w:val="00001B94"/>
    <w:rsid w:val="00002084"/>
    <w:rsid w:val="000036DF"/>
    <w:rsid w:val="000045A9"/>
    <w:rsid w:val="000048A2"/>
    <w:rsid w:val="00004C09"/>
    <w:rsid w:val="00004F21"/>
    <w:rsid w:val="00005307"/>
    <w:rsid w:val="000066A5"/>
    <w:rsid w:val="00006E3F"/>
    <w:rsid w:val="00007B3F"/>
    <w:rsid w:val="00007EBA"/>
    <w:rsid w:val="00010B53"/>
    <w:rsid w:val="00012A6B"/>
    <w:rsid w:val="00012ACF"/>
    <w:rsid w:val="00012B73"/>
    <w:rsid w:val="0001355D"/>
    <w:rsid w:val="00014327"/>
    <w:rsid w:val="00014C3E"/>
    <w:rsid w:val="00015F1B"/>
    <w:rsid w:val="000164EB"/>
    <w:rsid w:val="000169CF"/>
    <w:rsid w:val="00016B3F"/>
    <w:rsid w:val="00017A71"/>
    <w:rsid w:val="00017AAC"/>
    <w:rsid w:val="00017F2D"/>
    <w:rsid w:val="00020252"/>
    <w:rsid w:val="0002131D"/>
    <w:rsid w:val="00021386"/>
    <w:rsid w:val="00021EBA"/>
    <w:rsid w:val="0002250A"/>
    <w:rsid w:val="0002305C"/>
    <w:rsid w:val="000238D0"/>
    <w:rsid w:val="00024491"/>
    <w:rsid w:val="00025099"/>
    <w:rsid w:val="000262A2"/>
    <w:rsid w:val="00026EB6"/>
    <w:rsid w:val="00027507"/>
    <w:rsid w:val="000306D1"/>
    <w:rsid w:val="00030B88"/>
    <w:rsid w:val="000313A9"/>
    <w:rsid w:val="000314DD"/>
    <w:rsid w:val="00031505"/>
    <w:rsid w:val="00032078"/>
    <w:rsid w:val="00032E6F"/>
    <w:rsid w:val="00033084"/>
    <w:rsid w:val="000334D1"/>
    <w:rsid w:val="00033507"/>
    <w:rsid w:val="00033AAC"/>
    <w:rsid w:val="000345C4"/>
    <w:rsid w:val="00034E27"/>
    <w:rsid w:val="0003586E"/>
    <w:rsid w:val="00035A8B"/>
    <w:rsid w:val="00035FA6"/>
    <w:rsid w:val="000366B1"/>
    <w:rsid w:val="00036F2D"/>
    <w:rsid w:val="000407C9"/>
    <w:rsid w:val="000408F0"/>
    <w:rsid w:val="000412D2"/>
    <w:rsid w:val="00041BB6"/>
    <w:rsid w:val="00042F48"/>
    <w:rsid w:val="000431D5"/>
    <w:rsid w:val="000440E0"/>
    <w:rsid w:val="000455C4"/>
    <w:rsid w:val="0005075D"/>
    <w:rsid w:val="00052A83"/>
    <w:rsid w:val="00053DDB"/>
    <w:rsid w:val="00053EE5"/>
    <w:rsid w:val="00054868"/>
    <w:rsid w:val="00054A2C"/>
    <w:rsid w:val="00056291"/>
    <w:rsid w:val="00056464"/>
    <w:rsid w:val="00060488"/>
    <w:rsid w:val="0006106B"/>
    <w:rsid w:val="00061282"/>
    <w:rsid w:val="00062EC4"/>
    <w:rsid w:val="000638B9"/>
    <w:rsid w:val="00063DD4"/>
    <w:rsid w:val="00063FF0"/>
    <w:rsid w:val="000644F6"/>
    <w:rsid w:val="000650CC"/>
    <w:rsid w:val="0006545D"/>
    <w:rsid w:val="00065F63"/>
    <w:rsid w:val="0006629A"/>
    <w:rsid w:val="00067082"/>
    <w:rsid w:val="00067324"/>
    <w:rsid w:val="000673EB"/>
    <w:rsid w:val="000676A1"/>
    <w:rsid w:val="00070154"/>
    <w:rsid w:val="00070F5F"/>
    <w:rsid w:val="0007152F"/>
    <w:rsid w:val="000716B1"/>
    <w:rsid w:val="0007236E"/>
    <w:rsid w:val="0007277F"/>
    <w:rsid w:val="00072D4F"/>
    <w:rsid w:val="00073840"/>
    <w:rsid w:val="00073CC3"/>
    <w:rsid w:val="00073ED8"/>
    <w:rsid w:val="000747A8"/>
    <w:rsid w:val="000749F5"/>
    <w:rsid w:val="000751DB"/>
    <w:rsid w:val="00077051"/>
    <w:rsid w:val="000778C0"/>
    <w:rsid w:val="00077A05"/>
    <w:rsid w:val="00077DC3"/>
    <w:rsid w:val="00080B78"/>
    <w:rsid w:val="00081819"/>
    <w:rsid w:val="00082025"/>
    <w:rsid w:val="000820C5"/>
    <w:rsid w:val="0008267B"/>
    <w:rsid w:val="00082922"/>
    <w:rsid w:val="000837EB"/>
    <w:rsid w:val="00083D8B"/>
    <w:rsid w:val="00084538"/>
    <w:rsid w:val="00085C4B"/>
    <w:rsid w:val="00085C60"/>
    <w:rsid w:val="000862DD"/>
    <w:rsid w:val="00087442"/>
    <w:rsid w:val="000901AF"/>
    <w:rsid w:val="00091070"/>
    <w:rsid w:val="0009259C"/>
    <w:rsid w:val="00092C3E"/>
    <w:rsid w:val="00093562"/>
    <w:rsid w:val="000955D1"/>
    <w:rsid w:val="00095A2D"/>
    <w:rsid w:val="00095BB3"/>
    <w:rsid w:val="00096490"/>
    <w:rsid w:val="000A0E4C"/>
    <w:rsid w:val="000A5C9D"/>
    <w:rsid w:val="000A5D78"/>
    <w:rsid w:val="000A612D"/>
    <w:rsid w:val="000A6B6F"/>
    <w:rsid w:val="000A6EB9"/>
    <w:rsid w:val="000A706A"/>
    <w:rsid w:val="000A7256"/>
    <w:rsid w:val="000B15EB"/>
    <w:rsid w:val="000B1DAD"/>
    <w:rsid w:val="000B2C98"/>
    <w:rsid w:val="000B33B1"/>
    <w:rsid w:val="000B5727"/>
    <w:rsid w:val="000B6681"/>
    <w:rsid w:val="000B77BB"/>
    <w:rsid w:val="000C0FF2"/>
    <w:rsid w:val="000C1B14"/>
    <w:rsid w:val="000C1C16"/>
    <w:rsid w:val="000C1E1B"/>
    <w:rsid w:val="000C210C"/>
    <w:rsid w:val="000C3728"/>
    <w:rsid w:val="000C3DB6"/>
    <w:rsid w:val="000C494E"/>
    <w:rsid w:val="000C4CBD"/>
    <w:rsid w:val="000C64B9"/>
    <w:rsid w:val="000C66E2"/>
    <w:rsid w:val="000C7BD3"/>
    <w:rsid w:val="000D010F"/>
    <w:rsid w:val="000D0A51"/>
    <w:rsid w:val="000D0EAA"/>
    <w:rsid w:val="000D15DC"/>
    <w:rsid w:val="000D1889"/>
    <w:rsid w:val="000D1DC5"/>
    <w:rsid w:val="000D203C"/>
    <w:rsid w:val="000D24F4"/>
    <w:rsid w:val="000D2E53"/>
    <w:rsid w:val="000D6CAB"/>
    <w:rsid w:val="000E1BD3"/>
    <w:rsid w:val="000E3969"/>
    <w:rsid w:val="000E4DA2"/>
    <w:rsid w:val="000E5EBA"/>
    <w:rsid w:val="000E6EE9"/>
    <w:rsid w:val="000F0641"/>
    <w:rsid w:val="000F2FCE"/>
    <w:rsid w:val="000F33FD"/>
    <w:rsid w:val="000F5288"/>
    <w:rsid w:val="000F5DED"/>
    <w:rsid w:val="000F60C5"/>
    <w:rsid w:val="000F67B3"/>
    <w:rsid w:val="000F75D8"/>
    <w:rsid w:val="000F7AF2"/>
    <w:rsid w:val="000F7DB1"/>
    <w:rsid w:val="000F7DE8"/>
    <w:rsid w:val="00100365"/>
    <w:rsid w:val="0010101B"/>
    <w:rsid w:val="00101123"/>
    <w:rsid w:val="0010125D"/>
    <w:rsid w:val="00101CA0"/>
    <w:rsid w:val="00101CE5"/>
    <w:rsid w:val="0010212D"/>
    <w:rsid w:val="0010283D"/>
    <w:rsid w:val="001028E7"/>
    <w:rsid w:val="00103041"/>
    <w:rsid w:val="001031DE"/>
    <w:rsid w:val="00103201"/>
    <w:rsid w:val="00103B8F"/>
    <w:rsid w:val="00103D77"/>
    <w:rsid w:val="001046DF"/>
    <w:rsid w:val="00105213"/>
    <w:rsid w:val="001066B6"/>
    <w:rsid w:val="00106741"/>
    <w:rsid w:val="00106DF0"/>
    <w:rsid w:val="00107035"/>
    <w:rsid w:val="001103EA"/>
    <w:rsid w:val="001108CF"/>
    <w:rsid w:val="00111114"/>
    <w:rsid w:val="001114E1"/>
    <w:rsid w:val="00112A4A"/>
    <w:rsid w:val="00113172"/>
    <w:rsid w:val="001140E5"/>
    <w:rsid w:val="001146B6"/>
    <w:rsid w:val="001147AC"/>
    <w:rsid w:val="00114D94"/>
    <w:rsid w:val="001150CD"/>
    <w:rsid w:val="00115B71"/>
    <w:rsid w:val="00116242"/>
    <w:rsid w:val="001174A0"/>
    <w:rsid w:val="00117806"/>
    <w:rsid w:val="00117E4D"/>
    <w:rsid w:val="0012115D"/>
    <w:rsid w:val="001215AF"/>
    <w:rsid w:val="00121981"/>
    <w:rsid w:val="00122CEC"/>
    <w:rsid w:val="00125583"/>
    <w:rsid w:val="00126BD8"/>
    <w:rsid w:val="0012788F"/>
    <w:rsid w:val="00130F8B"/>
    <w:rsid w:val="001321D8"/>
    <w:rsid w:val="00133364"/>
    <w:rsid w:val="00134BE2"/>
    <w:rsid w:val="0013512B"/>
    <w:rsid w:val="001356B6"/>
    <w:rsid w:val="00136DA9"/>
    <w:rsid w:val="00137D91"/>
    <w:rsid w:val="001402C4"/>
    <w:rsid w:val="001408B2"/>
    <w:rsid w:val="00142377"/>
    <w:rsid w:val="0014362A"/>
    <w:rsid w:val="00144EBD"/>
    <w:rsid w:val="00145C25"/>
    <w:rsid w:val="00145C2E"/>
    <w:rsid w:val="00146CB4"/>
    <w:rsid w:val="00146DA0"/>
    <w:rsid w:val="00151F68"/>
    <w:rsid w:val="001522C7"/>
    <w:rsid w:val="00152CD9"/>
    <w:rsid w:val="0015436F"/>
    <w:rsid w:val="00154595"/>
    <w:rsid w:val="0015466A"/>
    <w:rsid w:val="00154DA8"/>
    <w:rsid w:val="00154DDC"/>
    <w:rsid w:val="0015522B"/>
    <w:rsid w:val="0015587E"/>
    <w:rsid w:val="00156CFF"/>
    <w:rsid w:val="00157F3B"/>
    <w:rsid w:val="001615B6"/>
    <w:rsid w:val="00161736"/>
    <w:rsid w:val="00162009"/>
    <w:rsid w:val="001620AD"/>
    <w:rsid w:val="00163894"/>
    <w:rsid w:val="0016446F"/>
    <w:rsid w:val="001657C6"/>
    <w:rsid w:val="00165EAD"/>
    <w:rsid w:val="00166152"/>
    <w:rsid w:val="001665C7"/>
    <w:rsid w:val="00166E1E"/>
    <w:rsid w:val="001676EB"/>
    <w:rsid w:val="001700AF"/>
    <w:rsid w:val="00171A64"/>
    <w:rsid w:val="00172A51"/>
    <w:rsid w:val="00174FDC"/>
    <w:rsid w:val="00175ECD"/>
    <w:rsid w:val="00176B64"/>
    <w:rsid w:val="00176E01"/>
    <w:rsid w:val="00177126"/>
    <w:rsid w:val="00177B46"/>
    <w:rsid w:val="001807A1"/>
    <w:rsid w:val="001811BA"/>
    <w:rsid w:val="00181C29"/>
    <w:rsid w:val="00181DB8"/>
    <w:rsid w:val="00182A1C"/>
    <w:rsid w:val="00182FDE"/>
    <w:rsid w:val="00184112"/>
    <w:rsid w:val="00184198"/>
    <w:rsid w:val="00185362"/>
    <w:rsid w:val="00185599"/>
    <w:rsid w:val="001855AC"/>
    <w:rsid w:val="00185E1E"/>
    <w:rsid w:val="00186381"/>
    <w:rsid w:val="00190200"/>
    <w:rsid w:val="00190252"/>
    <w:rsid w:val="001914C5"/>
    <w:rsid w:val="0019282E"/>
    <w:rsid w:val="001938BD"/>
    <w:rsid w:val="001945CB"/>
    <w:rsid w:val="001948CA"/>
    <w:rsid w:val="0019551D"/>
    <w:rsid w:val="00195C4B"/>
    <w:rsid w:val="00195F13"/>
    <w:rsid w:val="001964BA"/>
    <w:rsid w:val="0019666F"/>
    <w:rsid w:val="00196938"/>
    <w:rsid w:val="0019783D"/>
    <w:rsid w:val="00197F37"/>
    <w:rsid w:val="001A0918"/>
    <w:rsid w:val="001A0EA7"/>
    <w:rsid w:val="001A19AB"/>
    <w:rsid w:val="001A3597"/>
    <w:rsid w:val="001A39CD"/>
    <w:rsid w:val="001A5246"/>
    <w:rsid w:val="001A59DA"/>
    <w:rsid w:val="001A612B"/>
    <w:rsid w:val="001A6B1D"/>
    <w:rsid w:val="001A6CBB"/>
    <w:rsid w:val="001B0324"/>
    <w:rsid w:val="001B0B8B"/>
    <w:rsid w:val="001B113F"/>
    <w:rsid w:val="001B17DE"/>
    <w:rsid w:val="001B220C"/>
    <w:rsid w:val="001B2621"/>
    <w:rsid w:val="001B2CFA"/>
    <w:rsid w:val="001B3036"/>
    <w:rsid w:val="001B31C8"/>
    <w:rsid w:val="001B39B0"/>
    <w:rsid w:val="001B51AF"/>
    <w:rsid w:val="001B5931"/>
    <w:rsid w:val="001C1AF0"/>
    <w:rsid w:val="001C34C3"/>
    <w:rsid w:val="001C3F0F"/>
    <w:rsid w:val="001C448A"/>
    <w:rsid w:val="001C5453"/>
    <w:rsid w:val="001C6471"/>
    <w:rsid w:val="001C656F"/>
    <w:rsid w:val="001C6AE6"/>
    <w:rsid w:val="001C6B12"/>
    <w:rsid w:val="001C71ED"/>
    <w:rsid w:val="001C740E"/>
    <w:rsid w:val="001D003F"/>
    <w:rsid w:val="001D02B9"/>
    <w:rsid w:val="001D05CD"/>
    <w:rsid w:val="001D1748"/>
    <w:rsid w:val="001D1D49"/>
    <w:rsid w:val="001D280D"/>
    <w:rsid w:val="001D288B"/>
    <w:rsid w:val="001D2DF8"/>
    <w:rsid w:val="001D37FB"/>
    <w:rsid w:val="001D5793"/>
    <w:rsid w:val="001D6C0B"/>
    <w:rsid w:val="001E0993"/>
    <w:rsid w:val="001E0F62"/>
    <w:rsid w:val="001E1894"/>
    <w:rsid w:val="001E2808"/>
    <w:rsid w:val="001E3CB5"/>
    <w:rsid w:val="001E454C"/>
    <w:rsid w:val="001E4CCB"/>
    <w:rsid w:val="001E4E5F"/>
    <w:rsid w:val="001E79BC"/>
    <w:rsid w:val="001F0C42"/>
    <w:rsid w:val="001F152F"/>
    <w:rsid w:val="001F1AC6"/>
    <w:rsid w:val="001F2253"/>
    <w:rsid w:val="001F272D"/>
    <w:rsid w:val="001F2E2C"/>
    <w:rsid w:val="001F303F"/>
    <w:rsid w:val="001F3591"/>
    <w:rsid w:val="001F3C3C"/>
    <w:rsid w:val="001F448D"/>
    <w:rsid w:val="001F7118"/>
    <w:rsid w:val="001F7795"/>
    <w:rsid w:val="001F7AB6"/>
    <w:rsid w:val="001F7E6F"/>
    <w:rsid w:val="002005E2"/>
    <w:rsid w:val="002010A8"/>
    <w:rsid w:val="00201176"/>
    <w:rsid w:val="00203EF8"/>
    <w:rsid w:val="002042D4"/>
    <w:rsid w:val="00205252"/>
    <w:rsid w:val="002059E4"/>
    <w:rsid w:val="00211BF1"/>
    <w:rsid w:val="00211CD3"/>
    <w:rsid w:val="002132E6"/>
    <w:rsid w:val="0021341D"/>
    <w:rsid w:val="00214666"/>
    <w:rsid w:val="00215FA9"/>
    <w:rsid w:val="00216D03"/>
    <w:rsid w:val="00217C01"/>
    <w:rsid w:val="002201C8"/>
    <w:rsid w:val="0022028C"/>
    <w:rsid w:val="00221407"/>
    <w:rsid w:val="002215A0"/>
    <w:rsid w:val="002219F2"/>
    <w:rsid w:val="002220FE"/>
    <w:rsid w:val="002221BA"/>
    <w:rsid w:val="00223046"/>
    <w:rsid w:val="002231FA"/>
    <w:rsid w:val="00223305"/>
    <w:rsid w:val="0022386F"/>
    <w:rsid w:val="00223AE1"/>
    <w:rsid w:val="00223CD3"/>
    <w:rsid w:val="00225300"/>
    <w:rsid w:val="00226386"/>
    <w:rsid w:val="00230983"/>
    <w:rsid w:val="0023195B"/>
    <w:rsid w:val="0023252C"/>
    <w:rsid w:val="00233429"/>
    <w:rsid w:val="00233584"/>
    <w:rsid w:val="002335CE"/>
    <w:rsid w:val="002338AC"/>
    <w:rsid w:val="00233BD3"/>
    <w:rsid w:val="00236724"/>
    <w:rsid w:val="002370AA"/>
    <w:rsid w:val="00240A95"/>
    <w:rsid w:val="00241A08"/>
    <w:rsid w:val="002429D1"/>
    <w:rsid w:val="00242CBF"/>
    <w:rsid w:val="00242E66"/>
    <w:rsid w:val="0024379A"/>
    <w:rsid w:val="00245BC2"/>
    <w:rsid w:val="00245D25"/>
    <w:rsid w:val="00246001"/>
    <w:rsid w:val="002466FF"/>
    <w:rsid w:val="00246C70"/>
    <w:rsid w:val="00250299"/>
    <w:rsid w:val="00251155"/>
    <w:rsid w:val="00251941"/>
    <w:rsid w:val="002532AC"/>
    <w:rsid w:val="00253667"/>
    <w:rsid w:val="00253B8D"/>
    <w:rsid w:val="002553C6"/>
    <w:rsid w:val="002558D9"/>
    <w:rsid w:val="0025592B"/>
    <w:rsid w:val="00255AED"/>
    <w:rsid w:val="002561F7"/>
    <w:rsid w:val="002562AD"/>
    <w:rsid w:val="002567DB"/>
    <w:rsid w:val="0026003C"/>
    <w:rsid w:val="0026208A"/>
    <w:rsid w:val="002624E7"/>
    <w:rsid w:val="0026264D"/>
    <w:rsid w:val="00263470"/>
    <w:rsid w:val="0026363B"/>
    <w:rsid w:val="0026393C"/>
    <w:rsid w:val="002647B2"/>
    <w:rsid w:val="0026507D"/>
    <w:rsid w:val="00265674"/>
    <w:rsid w:val="00266444"/>
    <w:rsid w:val="00266CC1"/>
    <w:rsid w:val="00266F5E"/>
    <w:rsid w:val="00270344"/>
    <w:rsid w:val="00271B07"/>
    <w:rsid w:val="00271D62"/>
    <w:rsid w:val="00271ED8"/>
    <w:rsid w:val="00272178"/>
    <w:rsid w:val="002725C8"/>
    <w:rsid w:val="0027260C"/>
    <w:rsid w:val="00273AB1"/>
    <w:rsid w:val="002747DA"/>
    <w:rsid w:val="0027526C"/>
    <w:rsid w:val="0027642A"/>
    <w:rsid w:val="0028033D"/>
    <w:rsid w:val="00280601"/>
    <w:rsid w:val="00280F99"/>
    <w:rsid w:val="002814E2"/>
    <w:rsid w:val="00282198"/>
    <w:rsid w:val="0028240D"/>
    <w:rsid w:val="0028271A"/>
    <w:rsid w:val="00282A7F"/>
    <w:rsid w:val="00283232"/>
    <w:rsid w:val="00283A9E"/>
    <w:rsid w:val="0028413F"/>
    <w:rsid w:val="00284B70"/>
    <w:rsid w:val="0028565B"/>
    <w:rsid w:val="00285C1A"/>
    <w:rsid w:val="00290742"/>
    <w:rsid w:val="0029086A"/>
    <w:rsid w:val="00290F30"/>
    <w:rsid w:val="002917B5"/>
    <w:rsid w:val="00291B6A"/>
    <w:rsid w:val="00292EA5"/>
    <w:rsid w:val="002930D4"/>
    <w:rsid w:val="002932DD"/>
    <w:rsid w:val="002938DE"/>
    <w:rsid w:val="00293E10"/>
    <w:rsid w:val="002943F6"/>
    <w:rsid w:val="002949F4"/>
    <w:rsid w:val="00294ECE"/>
    <w:rsid w:val="00295173"/>
    <w:rsid w:val="002956DF"/>
    <w:rsid w:val="00295C14"/>
    <w:rsid w:val="0029762B"/>
    <w:rsid w:val="00297BF2"/>
    <w:rsid w:val="002A0BAE"/>
    <w:rsid w:val="002A4055"/>
    <w:rsid w:val="002A449E"/>
    <w:rsid w:val="002A5404"/>
    <w:rsid w:val="002A60C4"/>
    <w:rsid w:val="002A7399"/>
    <w:rsid w:val="002A7E54"/>
    <w:rsid w:val="002A7E69"/>
    <w:rsid w:val="002B0F25"/>
    <w:rsid w:val="002B1523"/>
    <w:rsid w:val="002B1BD6"/>
    <w:rsid w:val="002B1E9A"/>
    <w:rsid w:val="002B1F26"/>
    <w:rsid w:val="002B1FAF"/>
    <w:rsid w:val="002B2B33"/>
    <w:rsid w:val="002B2D35"/>
    <w:rsid w:val="002B2E7F"/>
    <w:rsid w:val="002B3657"/>
    <w:rsid w:val="002B37E6"/>
    <w:rsid w:val="002B393D"/>
    <w:rsid w:val="002B41A3"/>
    <w:rsid w:val="002B44A3"/>
    <w:rsid w:val="002B4BA8"/>
    <w:rsid w:val="002B6908"/>
    <w:rsid w:val="002B70B2"/>
    <w:rsid w:val="002B7706"/>
    <w:rsid w:val="002C0344"/>
    <w:rsid w:val="002C0859"/>
    <w:rsid w:val="002C08A9"/>
    <w:rsid w:val="002C15AE"/>
    <w:rsid w:val="002C2038"/>
    <w:rsid w:val="002C31F9"/>
    <w:rsid w:val="002C3B50"/>
    <w:rsid w:val="002C40FF"/>
    <w:rsid w:val="002C4CE7"/>
    <w:rsid w:val="002C55CF"/>
    <w:rsid w:val="002C5783"/>
    <w:rsid w:val="002C66C7"/>
    <w:rsid w:val="002D0DA4"/>
    <w:rsid w:val="002D16C7"/>
    <w:rsid w:val="002D17D5"/>
    <w:rsid w:val="002D336E"/>
    <w:rsid w:val="002E0CF1"/>
    <w:rsid w:val="002E127B"/>
    <w:rsid w:val="002E164B"/>
    <w:rsid w:val="002E1F0B"/>
    <w:rsid w:val="002E36EF"/>
    <w:rsid w:val="002E3B75"/>
    <w:rsid w:val="002E3D0F"/>
    <w:rsid w:val="002E468A"/>
    <w:rsid w:val="002E629E"/>
    <w:rsid w:val="002E7A97"/>
    <w:rsid w:val="002F0D4D"/>
    <w:rsid w:val="002F0EEF"/>
    <w:rsid w:val="002F263B"/>
    <w:rsid w:val="002F2B69"/>
    <w:rsid w:val="002F528C"/>
    <w:rsid w:val="002F59D4"/>
    <w:rsid w:val="002F5DB9"/>
    <w:rsid w:val="002F72DC"/>
    <w:rsid w:val="003008AF"/>
    <w:rsid w:val="00300FD5"/>
    <w:rsid w:val="003010B7"/>
    <w:rsid w:val="00301292"/>
    <w:rsid w:val="003014EA"/>
    <w:rsid w:val="003020FC"/>
    <w:rsid w:val="00302711"/>
    <w:rsid w:val="00302D25"/>
    <w:rsid w:val="00303E44"/>
    <w:rsid w:val="00304A57"/>
    <w:rsid w:val="00305378"/>
    <w:rsid w:val="00305A02"/>
    <w:rsid w:val="00305ABC"/>
    <w:rsid w:val="0030633A"/>
    <w:rsid w:val="00310245"/>
    <w:rsid w:val="00310662"/>
    <w:rsid w:val="003118B1"/>
    <w:rsid w:val="00311C0C"/>
    <w:rsid w:val="003134AF"/>
    <w:rsid w:val="00313B34"/>
    <w:rsid w:val="00314FD5"/>
    <w:rsid w:val="0031557D"/>
    <w:rsid w:val="0031582A"/>
    <w:rsid w:val="00316AA4"/>
    <w:rsid w:val="00317D73"/>
    <w:rsid w:val="003205FE"/>
    <w:rsid w:val="00321EF6"/>
    <w:rsid w:val="0032202D"/>
    <w:rsid w:val="0032234F"/>
    <w:rsid w:val="0032323D"/>
    <w:rsid w:val="003236F8"/>
    <w:rsid w:val="00323C16"/>
    <w:rsid w:val="003242CE"/>
    <w:rsid w:val="003243C7"/>
    <w:rsid w:val="00324409"/>
    <w:rsid w:val="003245F2"/>
    <w:rsid w:val="00327E66"/>
    <w:rsid w:val="00327FCE"/>
    <w:rsid w:val="003304E6"/>
    <w:rsid w:val="00330B1B"/>
    <w:rsid w:val="00331353"/>
    <w:rsid w:val="003335A4"/>
    <w:rsid w:val="00333B58"/>
    <w:rsid w:val="00333ED6"/>
    <w:rsid w:val="003345A0"/>
    <w:rsid w:val="003352D1"/>
    <w:rsid w:val="003362EA"/>
    <w:rsid w:val="003400EE"/>
    <w:rsid w:val="003409B3"/>
    <w:rsid w:val="00340ECE"/>
    <w:rsid w:val="003424E5"/>
    <w:rsid w:val="0034256A"/>
    <w:rsid w:val="0034323F"/>
    <w:rsid w:val="003432E9"/>
    <w:rsid w:val="003436E0"/>
    <w:rsid w:val="003469EB"/>
    <w:rsid w:val="00346D4A"/>
    <w:rsid w:val="003473B7"/>
    <w:rsid w:val="003504F7"/>
    <w:rsid w:val="003518CA"/>
    <w:rsid w:val="003538A5"/>
    <w:rsid w:val="00353FA8"/>
    <w:rsid w:val="0035563F"/>
    <w:rsid w:val="003566A9"/>
    <w:rsid w:val="00356A70"/>
    <w:rsid w:val="0035718B"/>
    <w:rsid w:val="00357A4C"/>
    <w:rsid w:val="00357A84"/>
    <w:rsid w:val="00360245"/>
    <w:rsid w:val="00360439"/>
    <w:rsid w:val="003617A4"/>
    <w:rsid w:val="00362213"/>
    <w:rsid w:val="00364AC2"/>
    <w:rsid w:val="0036597C"/>
    <w:rsid w:val="00365F69"/>
    <w:rsid w:val="00367647"/>
    <w:rsid w:val="003678F9"/>
    <w:rsid w:val="00367A8D"/>
    <w:rsid w:val="00370EAA"/>
    <w:rsid w:val="00371B05"/>
    <w:rsid w:val="00372999"/>
    <w:rsid w:val="00373ABD"/>
    <w:rsid w:val="00374DF6"/>
    <w:rsid w:val="0037740E"/>
    <w:rsid w:val="00382FBA"/>
    <w:rsid w:val="003832AD"/>
    <w:rsid w:val="00385372"/>
    <w:rsid w:val="00386D20"/>
    <w:rsid w:val="003870B6"/>
    <w:rsid w:val="00387C46"/>
    <w:rsid w:val="0039044F"/>
    <w:rsid w:val="0039267A"/>
    <w:rsid w:val="00393206"/>
    <w:rsid w:val="00393533"/>
    <w:rsid w:val="00393DE5"/>
    <w:rsid w:val="003940AD"/>
    <w:rsid w:val="00394DBF"/>
    <w:rsid w:val="00394F34"/>
    <w:rsid w:val="0039561F"/>
    <w:rsid w:val="00395876"/>
    <w:rsid w:val="00395B7E"/>
    <w:rsid w:val="00395CAA"/>
    <w:rsid w:val="00395E7E"/>
    <w:rsid w:val="003A0A57"/>
    <w:rsid w:val="003A1535"/>
    <w:rsid w:val="003A3611"/>
    <w:rsid w:val="003A3BE5"/>
    <w:rsid w:val="003A432E"/>
    <w:rsid w:val="003A45CA"/>
    <w:rsid w:val="003A48A3"/>
    <w:rsid w:val="003A50CF"/>
    <w:rsid w:val="003A5677"/>
    <w:rsid w:val="003A5783"/>
    <w:rsid w:val="003A6697"/>
    <w:rsid w:val="003A6B84"/>
    <w:rsid w:val="003A78B7"/>
    <w:rsid w:val="003B0510"/>
    <w:rsid w:val="003B0BF0"/>
    <w:rsid w:val="003B0EA8"/>
    <w:rsid w:val="003B12F3"/>
    <w:rsid w:val="003B19CD"/>
    <w:rsid w:val="003B2804"/>
    <w:rsid w:val="003B2ABE"/>
    <w:rsid w:val="003B42F0"/>
    <w:rsid w:val="003B500C"/>
    <w:rsid w:val="003B5388"/>
    <w:rsid w:val="003B5E87"/>
    <w:rsid w:val="003B6204"/>
    <w:rsid w:val="003B6667"/>
    <w:rsid w:val="003C02DE"/>
    <w:rsid w:val="003C0B17"/>
    <w:rsid w:val="003C262D"/>
    <w:rsid w:val="003C4165"/>
    <w:rsid w:val="003C510F"/>
    <w:rsid w:val="003C51BA"/>
    <w:rsid w:val="003C74EB"/>
    <w:rsid w:val="003D0BE5"/>
    <w:rsid w:val="003D1887"/>
    <w:rsid w:val="003D1AD6"/>
    <w:rsid w:val="003D2836"/>
    <w:rsid w:val="003D3462"/>
    <w:rsid w:val="003D38D4"/>
    <w:rsid w:val="003D451C"/>
    <w:rsid w:val="003D4A55"/>
    <w:rsid w:val="003D4FF1"/>
    <w:rsid w:val="003D5A71"/>
    <w:rsid w:val="003D692F"/>
    <w:rsid w:val="003E050C"/>
    <w:rsid w:val="003E0712"/>
    <w:rsid w:val="003E0FBA"/>
    <w:rsid w:val="003E2197"/>
    <w:rsid w:val="003E2446"/>
    <w:rsid w:val="003E2899"/>
    <w:rsid w:val="003E50A9"/>
    <w:rsid w:val="003E5CEC"/>
    <w:rsid w:val="003F0428"/>
    <w:rsid w:val="003F0995"/>
    <w:rsid w:val="003F1414"/>
    <w:rsid w:val="003F2513"/>
    <w:rsid w:val="003F27D6"/>
    <w:rsid w:val="003F2ED0"/>
    <w:rsid w:val="003F59E0"/>
    <w:rsid w:val="003F695F"/>
    <w:rsid w:val="003F6AE7"/>
    <w:rsid w:val="003F7931"/>
    <w:rsid w:val="003F7AA9"/>
    <w:rsid w:val="0040068A"/>
    <w:rsid w:val="004018B4"/>
    <w:rsid w:val="004030EF"/>
    <w:rsid w:val="00405721"/>
    <w:rsid w:val="0040579B"/>
    <w:rsid w:val="00406552"/>
    <w:rsid w:val="00406624"/>
    <w:rsid w:val="00406CD0"/>
    <w:rsid w:val="0040778A"/>
    <w:rsid w:val="004100E8"/>
    <w:rsid w:val="0041058D"/>
    <w:rsid w:val="00410D35"/>
    <w:rsid w:val="00411DB9"/>
    <w:rsid w:val="00413A0B"/>
    <w:rsid w:val="00413A41"/>
    <w:rsid w:val="00413BA5"/>
    <w:rsid w:val="0041407A"/>
    <w:rsid w:val="004169B1"/>
    <w:rsid w:val="00416AF0"/>
    <w:rsid w:val="00421157"/>
    <w:rsid w:val="004228D6"/>
    <w:rsid w:val="00423051"/>
    <w:rsid w:val="00423223"/>
    <w:rsid w:val="00423E9E"/>
    <w:rsid w:val="00424F72"/>
    <w:rsid w:val="00425020"/>
    <w:rsid w:val="00425DFC"/>
    <w:rsid w:val="004272D2"/>
    <w:rsid w:val="00427697"/>
    <w:rsid w:val="00427DB7"/>
    <w:rsid w:val="00430283"/>
    <w:rsid w:val="00430470"/>
    <w:rsid w:val="00430994"/>
    <w:rsid w:val="0043124F"/>
    <w:rsid w:val="004313C3"/>
    <w:rsid w:val="0043326C"/>
    <w:rsid w:val="004342B5"/>
    <w:rsid w:val="00434313"/>
    <w:rsid w:val="004350BE"/>
    <w:rsid w:val="004356C8"/>
    <w:rsid w:val="00437A5B"/>
    <w:rsid w:val="00440324"/>
    <w:rsid w:val="00440E17"/>
    <w:rsid w:val="00442C2A"/>
    <w:rsid w:val="00443969"/>
    <w:rsid w:val="00443A64"/>
    <w:rsid w:val="00445917"/>
    <w:rsid w:val="0044681B"/>
    <w:rsid w:val="00447408"/>
    <w:rsid w:val="004508BA"/>
    <w:rsid w:val="00451DFD"/>
    <w:rsid w:val="00452566"/>
    <w:rsid w:val="00452F4E"/>
    <w:rsid w:val="00454C82"/>
    <w:rsid w:val="004560AF"/>
    <w:rsid w:val="00461A42"/>
    <w:rsid w:val="0046241B"/>
    <w:rsid w:val="0046350B"/>
    <w:rsid w:val="004650EC"/>
    <w:rsid w:val="004656A7"/>
    <w:rsid w:val="00465778"/>
    <w:rsid w:val="0046630D"/>
    <w:rsid w:val="004664F4"/>
    <w:rsid w:val="0046677E"/>
    <w:rsid w:val="004667FC"/>
    <w:rsid w:val="00467539"/>
    <w:rsid w:val="00467554"/>
    <w:rsid w:val="0046759E"/>
    <w:rsid w:val="004710B6"/>
    <w:rsid w:val="00471329"/>
    <w:rsid w:val="00471360"/>
    <w:rsid w:val="004738DD"/>
    <w:rsid w:val="00474B89"/>
    <w:rsid w:val="00475841"/>
    <w:rsid w:val="0047602F"/>
    <w:rsid w:val="00476638"/>
    <w:rsid w:val="00476A0E"/>
    <w:rsid w:val="004770EA"/>
    <w:rsid w:val="00480E77"/>
    <w:rsid w:val="00482316"/>
    <w:rsid w:val="0048317D"/>
    <w:rsid w:val="00483560"/>
    <w:rsid w:val="00483C7D"/>
    <w:rsid w:val="00483C8D"/>
    <w:rsid w:val="00484001"/>
    <w:rsid w:val="00486122"/>
    <w:rsid w:val="00486BF9"/>
    <w:rsid w:val="004875E5"/>
    <w:rsid w:val="00487F5D"/>
    <w:rsid w:val="00490473"/>
    <w:rsid w:val="00491082"/>
    <w:rsid w:val="00491551"/>
    <w:rsid w:val="00491856"/>
    <w:rsid w:val="004924AD"/>
    <w:rsid w:val="004935AC"/>
    <w:rsid w:val="00493B51"/>
    <w:rsid w:val="00493D00"/>
    <w:rsid w:val="00494235"/>
    <w:rsid w:val="00494567"/>
    <w:rsid w:val="00494607"/>
    <w:rsid w:val="00494C7D"/>
    <w:rsid w:val="004961D4"/>
    <w:rsid w:val="004979BA"/>
    <w:rsid w:val="004A0590"/>
    <w:rsid w:val="004A1795"/>
    <w:rsid w:val="004A18A8"/>
    <w:rsid w:val="004A20B5"/>
    <w:rsid w:val="004A2943"/>
    <w:rsid w:val="004A2F6E"/>
    <w:rsid w:val="004A30BC"/>
    <w:rsid w:val="004A31BD"/>
    <w:rsid w:val="004A3A2C"/>
    <w:rsid w:val="004A418A"/>
    <w:rsid w:val="004A7809"/>
    <w:rsid w:val="004A7DFB"/>
    <w:rsid w:val="004B04F1"/>
    <w:rsid w:val="004B0F31"/>
    <w:rsid w:val="004B1A2B"/>
    <w:rsid w:val="004B1DEB"/>
    <w:rsid w:val="004B3B4C"/>
    <w:rsid w:val="004B6832"/>
    <w:rsid w:val="004B7121"/>
    <w:rsid w:val="004C01C6"/>
    <w:rsid w:val="004C04A9"/>
    <w:rsid w:val="004C0F93"/>
    <w:rsid w:val="004C119F"/>
    <w:rsid w:val="004C2D7C"/>
    <w:rsid w:val="004C3027"/>
    <w:rsid w:val="004C40D6"/>
    <w:rsid w:val="004C4359"/>
    <w:rsid w:val="004C5013"/>
    <w:rsid w:val="004C5096"/>
    <w:rsid w:val="004C523D"/>
    <w:rsid w:val="004C58C9"/>
    <w:rsid w:val="004C5981"/>
    <w:rsid w:val="004C684F"/>
    <w:rsid w:val="004C685B"/>
    <w:rsid w:val="004C69DD"/>
    <w:rsid w:val="004C795A"/>
    <w:rsid w:val="004D1B49"/>
    <w:rsid w:val="004D1F4F"/>
    <w:rsid w:val="004D20A0"/>
    <w:rsid w:val="004D23DD"/>
    <w:rsid w:val="004D2E45"/>
    <w:rsid w:val="004D30D3"/>
    <w:rsid w:val="004D4276"/>
    <w:rsid w:val="004D4B82"/>
    <w:rsid w:val="004D5159"/>
    <w:rsid w:val="004D54D7"/>
    <w:rsid w:val="004D5AA4"/>
    <w:rsid w:val="004D5FD8"/>
    <w:rsid w:val="004D63D3"/>
    <w:rsid w:val="004D6513"/>
    <w:rsid w:val="004D6A97"/>
    <w:rsid w:val="004D6C08"/>
    <w:rsid w:val="004E0CB5"/>
    <w:rsid w:val="004E16AA"/>
    <w:rsid w:val="004E1B8F"/>
    <w:rsid w:val="004E1CFE"/>
    <w:rsid w:val="004E2227"/>
    <w:rsid w:val="004E2390"/>
    <w:rsid w:val="004E33DA"/>
    <w:rsid w:val="004E35C2"/>
    <w:rsid w:val="004E36A6"/>
    <w:rsid w:val="004E3F6C"/>
    <w:rsid w:val="004E4FA6"/>
    <w:rsid w:val="004E56FD"/>
    <w:rsid w:val="004E5C5A"/>
    <w:rsid w:val="004E7B5B"/>
    <w:rsid w:val="004F0D40"/>
    <w:rsid w:val="004F18E4"/>
    <w:rsid w:val="004F1EA7"/>
    <w:rsid w:val="004F2207"/>
    <w:rsid w:val="004F24FB"/>
    <w:rsid w:val="004F3111"/>
    <w:rsid w:val="004F4257"/>
    <w:rsid w:val="004F4AA5"/>
    <w:rsid w:val="004F5954"/>
    <w:rsid w:val="004F5F76"/>
    <w:rsid w:val="004F67A4"/>
    <w:rsid w:val="004F6E0A"/>
    <w:rsid w:val="004F6E5B"/>
    <w:rsid w:val="0050199D"/>
    <w:rsid w:val="005035B9"/>
    <w:rsid w:val="00503984"/>
    <w:rsid w:val="00505A77"/>
    <w:rsid w:val="00506D1A"/>
    <w:rsid w:val="0050766D"/>
    <w:rsid w:val="0051004C"/>
    <w:rsid w:val="005100FB"/>
    <w:rsid w:val="0051095A"/>
    <w:rsid w:val="00510BED"/>
    <w:rsid w:val="00510D78"/>
    <w:rsid w:val="00511613"/>
    <w:rsid w:val="005119C7"/>
    <w:rsid w:val="00512EF9"/>
    <w:rsid w:val="00514F7A"/>
    <w:rsid w:val="00515B1F"/>
    <w:rsid w:val="00515C45"/>
    <w:rsid w:val="00517676"/>
    <w:rsid w:val="005212A0"/>
    <w:rsid w:val="00521389"/>
    <w:rsid w:val="00522497"/>
    <w:rsid w:val="0052295F"/>
    <w:rsid w:val="0052308A"/>
    <w:rsid w:val="00523F72"/>
    <w:rsid w:val="005243F6"/>
    <w:rsid w:val="00524C2A"/>
    <w:rsid w:val="00524D75"/>
    <w:rsid w:val="00525FBD"/>
    <w:rsid w:val="0052674C"/>
    <w:rsid w:val="00526D50"/>
    <w:rsid w:val="00527680"/>
    <w:rsid w:val="00527E54"/>
    <w:rsid w:val="00530622"/>
    <w:rsid w:val="00530642"/>
    <w:rsid w:val="00530D51"/>
    <w:rsid w:val="00531E58"/>
    <w:rsid w:val="005322BD"/>
    <w:rsid w:val="00532A11"/>
    <w:rsid w:val="00532C44"/>
    <w:rsid w:val="00533357"/>
    <w:rsid w:val="005342FC"/>
    <w:rsid w:val="005347E5"/>
    <w:rsid w:val="005349EE"/>
    <w:rsid w:val="00535F85"/>
    <w:rsid w:val="005407B9"/>
    <w:rsid w:val="00540F9A"/>
    <w:rsid w:val="00541972"/>
    <w:rsid w:val="00541BCD"/>
    <w:rsid w:val="00542C94"/>
    <w:rsid w:val="0054381A"/>
    <w:rsid w:val="00544464"/>
    <w:rsid w:val="00544751"/>
    <w:rsid w:val="00544AD8"/>
    <w:rsid w:val="00544AFB"/>
    <w:rsid w:val="005456B8"/>
    <w:rsid w:val="005457D8"/>
    <w:rsid w:val="005471C3"/>
    <w:rsid w:val="00550220"/>
    <w:rsid w:val="00550858"/>
    <w:rsid w:val="00553398"/>
    <w:rsid w:val="00554D6B"/>
    <w:rsid w:val="00556B79"/>
    <w:rsid w:val="005571F1"/>
    <w:rsid w:val="00557548"/>
    <w:rsid w:val="005576A5"/>
    <w:rsid w:val="0056030C"/>
    <w:rsid w:val="00561395"/>
    <w:rsid w:val="00561C20"/>
    <w:rsid w:val="00561EFD"/>
    <w:rsid w:val="00562845"/>
    <w:rsid w:val="00564BD4"/>
    <w:rsid w:val="00565407"/>
    <w:rsid w:val="00566C73"/>
    <w:rsid w:val="005676ED"/>
    <w:rsid w:val="00567D21"/>
    <w:rsid w:val="00567F46"/>
    <w:rsid w:val="00570117"/>
    <w:rsid w:val="00570147"/>
    <w:rsid w:val="00570392"/>
    <w:rsid w:val="0057221F"/>
    <w:rsid w:val="00572BC7"/>
    <w:rsid w:val="005773AB"/>
    <w:rsid w:val="00580789"/>
    <w:rsid w:val="00581E07"/>
    <w:rsid w:val="005826FE"/>
    <w:rsid w:val="00583AF2"/>
    <w:rsid w:val="00583B83"/>
    <w:rsid w:val="0058409B"/>
    <w:rsid w:val="00584344"/>
    <w:rsid w:val="00584E20"/>
    <w:rsid w:val="00584ED5"/>
    <w:rsid w:val="00585103"/>
    <w:rsid w:val="005857C1"/>
    <w:rsid w:val="00585E4C"/>
    <w:rsid w:val="005874F2"/>
    <w:rsid w:val="0058794F"/>
    <w:rsid w:val="00587AFF"/>
    <w:rsid w:val="00587CA9"/>
    <w:rsid w:val="00590A18"/>
    <w:rsid w:val="0059112B"/>
    <w:rsid w:val="00591A74"/>
    <w:rsid w:val="00592015"/>
    <w:rsid w:val="005924EE"/>
    <w:rsid w:val="00593159"/>
    <w:rsid w:val="005947D7"/>
    <w:rsid w:val="00595DF2"/>
    <w:rsid w:val="00596F21"/>
    <w:rsid w:val="00597115"/>
    <w:rsid w:val="00597C30"/>
    <w:rsid w:val="005A59CD"/>
    <w:rsid w:val="005B01D7"/>
    <w:rsid w:val="005B0732"/>
    <w:rsid w:val="005B0A6E"/>
    <w:rsid w:val="005B0C94"/>
    <w:rsid w:val="005B118B"/>
    <w:rsid w:val="005B2E6E"/>
    <w:rsid w:val="005B2F32"/>
    <w:rsid w:val="005B3D12"/>
    <w:rsid w:val="005B4F73"/>
    <w:rsid w:val="005B5E34"/>
    <w:rsid w:val="005B6481"/>
    <w:rsid w:val="005C033C"/>
    <w:rsid w:val="005C0B61"/>
    <w:rsid w:val="005C0F00"/>
    <w:rsid w:val="005C1041"/>
    <w:rsid w:val="005C382A"/>
    <w:rsid w:val="005C3EB4"/>
    <w:rsid w:val="005C4321"/>
    <w:rsid w:val="005C5FB0"/>
    <w:rsid w:val="005C66D3"/>
    <w:rsid w:val="005D1366"/>
    <w:rsid w:val="005D2985"/>
    <w:rsid w:val="005D3F73"/>
    <w:rsid w:val="005D4E15"/>
    <w:rsid w:val="005D528F"/>
    <w:rsid w:val="005D56D7"/>
    <w:rsid w:val="005D5775"/>
    <w:rsid w:val="005D6DCC"/>
    <w:rsid w:val="005D7B65"/>
    <w:rsid w:val="005E16D9"/>
    <w:rsid w:val="005E2151"/>
    <w:rsid w:val="005E2DC0"/>
    <w:rsid w:val="005E3069"/>
    <w:rsid w:val="005E3527"/>
    <w:rsid w:val="005E426D"/>
    <w:rsid w:val="005E4FA8"/>
    <w:rsid w:val="005F0797"/>
    <w:rsid w:val="005F1362"/>
    <w:rsid w:val="005F238D"/>
    <w:rsid w:val="005F3A8E"/>
    <w:rsid w:val="005F5065"/>
    <w:rsid w:val="005F66BC"/>
    <w:rsid w:val="005F769C"/>
    <w:rsid w:val="006004BB"/>
    <w:rsid w:val="00600CF4"/>
    <w:rsid w:val="0060214E"/>
    <w:rsid w:val="00602268"/>
    <w:rsid w:val="006031F2"/>
    <w:rsid w:val="00603EE1"/>
    <w:rsid w:val="006052C7"/>
    <w:rsid w:val="0060587B"/>
    <w:rsid w:val="00605AC3"/>
    <w:rsid w:val="006062EF"/>
    <w:rsid w:val="00606A6C"/>
    <w:rsid w:val="00607607"/>
    <w:rsid w:val="006102A8"/>
    <w:rsid w:val="006111D5"/>
    <w:rsid w:val="00611632"/>
    <w:rsid w:val="00611EA6"/>
    <w:rsid w:val="00612533"/>
    <w:rsid w:val="00612ED5"/>
    <w:rsid w:val="00613800"/>
    <w:rsid w:val="00615624"/>
    <w:rsid w:val="00615BEC"/>
    <w:rsid w:val="00616216"/>
    <w:rsid w:val="0061684C"/>
    <w:rsid w:val="00616F37"/>
    <w:rsid w:val="006172C1"/>
    <w:rsid w:val="00617AF4"/>
    <w:rsid w:val="006202BC"/>
    <w:rsid w:val="00621924"/>
    <w:rsid w:val="0062221F"/>
    <w:rsid w:val="00622B4F"/>
    <w:rsid w:val="006242AC"/>
    <w:rsid w:val="00624AE7"/>
    <w:rsid w:val="00624CD6"/>
    <w:rsid w:val="00624F92"/>
    <w:rsid w:val="006252F5"/>
    <w:rsid w:val="006266ED"/>
    <w:rsid w:val="00626DB6"/>
    <w:rsid w:val="006276DF"/>
    <w:rsid w:val="00627EBB"/>
    <w:rsid w:val="00630528"/>
    <w:rsid w:val="0063056D"/>
    <w:rsid w:val="00630575"/>
    <w:rsid w:val="00630A54"/>
    <w:rsid w:val="0063137D"/>
    <w:rsid w:val="00631BA1"/>
    <w:rsid w:val="006329D3"/>
    <w:rsid w:val="00633345"/>
    <w:rsid w:val="006333EA"/>
    <w:rsid w:val="0063401D"/>
    <w:rsid w:val="00634221"/>
    <w:rsid w:val="00634D9E"/>
    <w:rsid w:val="006356AD"/>
    <w:rsid w:val="006359B1"/>
    <w:rsid w:val="00636152"/>
    <w:rsid w:val="0063618D"/>
    <w:rsid w:val="00636D6F"/>
    <w:rsid w:val="00636EB8"/>
    <w:rsid w:val="0064051B"/>
    <w:rsid w:val="006425B2"/>
    <w:rsid w:val="00643589"/>
    <w:rsid w:val="006440EF"/>
    <w:rsid w:val="00644AB2"/>
    <w:rsid w:val="00644DC5"/>
    <w:rsid w:val="006451D1"/>
    <w:rsid w:val="00646467"/>
    <w:rsid w:val="00646822"/>
    <w:rsid w:val="006470F2"/>
    <w:rsid w:val="006513DC"/>
    <w:rsid w:val="0065412B"/>
    <w:rsid w:val="00654195"/>
    <w:rsid w:val="00654759"/>
    <w:rsid w:val="0065499A"/>
    <w:rsid w:val="006571E3"/>
    <w:rsid w:val="0065747E"/>
    <w:rsid w:val="006579E6"/>
    <w:rsid w:val="00657DF7"/>
    <w:rsid w:val="00660648"/>
    <w:rsid w:val="00661130"/>
    <w:rsid w:val="00661163"/>
    <w:rsid w:val="00661AFD"/>
    <w:rsid w:val="00661C6E"/>
    <w:rsid w:val="006627EC"/>
    <w:rsid w:val="00663228"/>
    <w:rsid w:val="00664AA4"/>
    <w:rsid w:val="00664BF1"/>
    <w:rsid w:val="00665B44"/>
    <w:rsid w:val="0066605A"/>
    <w:rsid w:val="00666117"/>
    <w:rsid w:val="006673EC"/>
    <w:rsid w:val="00670562"/>
    <w:rsid w:val="00670642"/>
    <w:rsid w:val="00670B23"/>
    <w:rsid w:val="00670C71"/>
    <w:rsid w:val="00670F97"/>
    <w:rsid w:val="006717DD"/>
    <w:rsid w:val="00671BA3"/>
    <w:rsid w:val="00672294"/>
    <w:rsid w:val="00672F36"/>
    <w:rsid w:val="00673AFD"/>
    <w:rsid w:val="00674001"/>
    <w:rsid w:val="0067480A"/>
    <w:rsid w:val="006748B3"/>
    <w:rsid w:val="00676196"/>
    <w:rsid w:val="00676C45"/>
    <w:rsid w:val="00680D95"/>
    <w:rsid w:val="00681E69"/>
    <w:rsid w:val="00682759"/>
    <w:rsid w:val="00682961"/>
    <w:rsid w:val="00682C66"/>
    <w:rsid w:val="00682D23"/>
    <w:rsid w:val="00683145"/>
    <w:rsid w:val="006833CC"/>
    <w:rsid w:val="00683994"/>
    <w:rsid w:val="00683EF7"/>
    <w:rsid w:val="006841C7"/>
    <w:rsid w:val="006843F7"/>
    <w:rsid w:val="00684AC1"/>
    <w:rsid w:val="00685659"/>
    <w:rsid w:val="006856C4"/>
    <w:rsid w:val="00686EEB"/>
    <w:rsid w:val="0069008A"/>
    <w:rsid w:val="006909C7"/>
    <w:rsid w:val="006917E4"/>
    <w:rsid w:val="00692115"/>
    <w:rsid w:val="0069280D"/>
    <w:rsid w:val="00692AC7"/>
    <w:rsid w:val="00692CC2"/>
    <w:rsid w:val="00693C1A"/>
    <w:rsid w:val="006952A9"/>
    <w:rsid w:val="006962E0"/>
    <w:rsid w:val="00697B76"/>
    <w:rsid w:val="006A01BD"/>
    <w:rsid w:val="006A0258"/>
    <w:rsid w:val="006A081A"/>
    <w:rsid w:val="006A1621"/>
    <w:rsid w:val="006A1886"/>
    <w:rsid w:val="006A1A20"/>
    <w:rsid w:val="006A21A9"/>
    <w:rsid w:val="006A3A93"/>
    <w:rsid w:val="006A4C46"/>
    <w:rsid w:val="006A4D93"/>
    <w:rsid w:val="006A510F"/>
    <w:rsid w:val="006A53A2"/>
    <w:rsid w:val="006A5973"/>
    <w:rsid w:val="006A59F2"/>
    <w:rsid w:val="006A633A"/>
    <w:rsid w:val="006A635D"/>
    <w:rsid w:val="006A6C3E"/>
    <w:rsid w:val="006A7890"/>
    <w:rsid w:val="006A7C5B"/>
    <w:rsid w:val="006B06EF"/>
    <w:rsid w:val="006B1BCC"/>
    <w:rsid w:val="006B4052"/>
    <w:rsid w:val="006B59C5"/>
    <w:rsid w:val="006B6CF2"/>
    <w:rsid w:val="006B6DA1"/>
    <w:rsid w:val="006B7699"/>
    <w:rsid w:val="006B7B64"/>
    <w:rsid w:val="006C0509"/>
    <w:rsid w:val="006C1B8D"/>
    <w:rsid w:val="006C4BEA"/>
    <w:rsid w:val="006C5A89"/>
    <w:rsid w:val="006C62C9"/>
    <w:rsid w:val="006C6652"/>
    <w:rsid w:val="006C7089"/>
    <w:rsid w:val="006C7313"/>
    <w:rsid w:val="006C773D"/>
    <w:rsid w:val="006C78D0"/>
    <w:rsid w:val="006D13E0"/>
    <w:rsid w:val="006D18B7"/>
    <w:rsid w:val="006D1B8B"/>
    <w:rsid w:val="006D2295"/>
    <w:rsid w:val="006D2E76"/>
    <w:rsid w:val="006D4D6F"/>
    <w:rsid w:val="006D5BF2"/>
    <w:rsid w:val="006D6379"/>
    <w:rsid w:val="006E023A"/>
    <w:rsid w:val="006E1329"/>
    <w:rsid w:val="006E1CDE"/>
    <w:rsid w:val="006E1FDE"/>
    <w:rsid w:val="006E2458"/>
    <w:rsid w:val="006E2551"/>
    <w:rsid w:val="006E2B6E"/>
    <w:rsid w:val="006E3C59"/>
    <w:rsid w:val="006E4184"/>
    <w:rsid w:val="006E4ED9"/>
    <w:rsid w:val="006E62CA"/>
    <w:rsid w:val="006E6AF4"/>
    <w:rsid w:val="006F0225"/>
    <w:rsid w:val="006F0DD2"/>
    <w:rsid w:val="006F0EC9"/>
    <w:rsid w:val="006F1002"/>
    <w:rsid w:val="006F14E0"/>
    <w:rsid w:val="006F1B1B"/>
    <w:rsid w:val="006F1F87"/>
    <w:rsid w:val="006F218E"/>
    <w:rsid w:val="006F21A2"/>
    <w:rsid w:val="006F2E0F"/>
    <w:rsid w:val="006F2F65"/>
    <w:rsid w:val="006F3A5E"/>
    <w:rsid w:val="006F3BD7"/>
    <w:rsid w:val="006F57FB"/>
    <w:rsid w:val="006F679C"/>
    <w:rsid w:val="006F688A"/>
    <w:rsid w:val="006F6B3F"/>
    <w:rsid w:val="007006F7"/>
    <w:rsid w:val="00700B23"/>
    <w:rsid w:val="00700BE0"/>
    <w:rsid w:val="00701A4B"/>
    <w:rsid w:val="007031D7"/>
    <w:rsid w:val="00704120"/>
    <w:rsid w:val="00705515"/>
    <w:rsid w:val="00705527"/>
    <w:rsid w:val="00705B4B"/>
    <w:rsid w:val="00705E8C"/>
    <w:rsid w:val="0070617F"/>
    <w:rsid w:val="00706368"/>
    <w:rsid w:val="0070737C"/>
    <w:rsid w:val="00707990"/>
    <w:rsid w:val="00707E77"/>
    <w:rsid w:val="00710187"/>
    <w:rsid w:val="0071076F"/>
    <w:rsid w:val="00711AEE"/>
    <w:rsid w:val="00712863"/>
    <w:rsid w:val="0071310F"/>
    <w:rsid w:val="00713C9F"/>
    <w:rsid w:val="00713F26"/>
    <w:rsid w:val="007152B0"/>
    <w:rsid w:val="007161B3"/>
    <w:rsid w:val="00717E5B"/>
    <w:rsid w:val="00720E25"/>
    <w:rsid w:val="00721469"/>
    <w:rsid w:val="00721EBF"/>
    <w:rsid w:val="00723435"/>
    <w:rsid w:val="007235CC"/>
    <w:rsid w:val="00724C80"/>
    <w:rsid w:val="00724E9E"/>
    <w:rsid w:val="00725E1F"/>
    <w:rsid w:val="00726722"/>
    <w:rsid w:val="00726D65"/>
    <w:rsid w:val="00727598"/>
    <w:rsid w:val="007302D0"/>
    <w:rsid w:val="00731D2B"/>
    <w:rsid w:val="0073441B"/>
    <w:rsid w:val="00734A54"/>
    <w:rsid w:val="007414ED"/>
    <w:rsid w:val="0074153B"/>
    <w:rsid w:val="007418B8"/>
    <w:rsid w:val="00744607"/>
    <w:rsid w:val="00744AAE"/>
    <w:rsid w:val="00744FDE"/>
    <w:rsid w:val="0074511C"/>
    <w:rsid w:val="00746300"/>
    <w:rsid w:val="00747828"/>
    <w:rsid w:val="00747CCE"/>
    <w:rsid w:val="00750286"/>
    <w:rsid w:val="00750452"/>
    <w:rsid w:val="00751D85"/>
    <w:rsid w:val="00751E7C"/>
    <w:rsid w:val="007527A3"/>
    <w:rsid w:val="0075302F"/>
    <w:rsid w:val="00753E1F"/>
    <w:rsid w:val="00754622"/>
    <w:rsid w:val="00754D26"/>
    <w:rsid w:val="00754DEB"/>
    <w:rsid w:val="00754E77"/>
    <w:rsid w:val="007556EC"/>
    <w:rsid w:val="007561D1"/>
    <w:rsid w:val="0075782B"/>
    <w:rsid w:val="00757834"/>
    <w:rsid w:val="0076012E"/>
    <w:rsid w:val="00760A36"/>
    <w:rsid w:val="00762018"/>
    <w:rsid w:val="00762111"/>
    <w:rsid w:val="00762898"/>
    <w:rsid w:val="00763E54"/>
    <w:rsid w:val="00764494"/>
    <w:rsid w:val="007648C7"/>
    <w:rsid w:val="0076499B"/>
    <w:rsid w:val="007658B7"/>
    <w:rsid w:val="00766FCB"/>
    <w:rsid w:val="00771F6C"/>
    <w:rsid w:val="00772859"/>
    <w:rsid w:val="007732C2"/>
    <w:rsid w:val="00773EA2"/>
    <w:rsid w:val="007747FF"/>
    <w:rsid w:val="00775DEC"/>
    <w:rsid w:val="00776507"/>
    <w:rsid w:val="00777D17"/>
    <w:rsid w:val="00780517"/>
    <w:rsid w:val="0078150B"/>
    <w:rsid w:val="007826AD"/>
    <w:rsid w:val="00782880"/>
    <w:rsid w:val="00784615"/>
    <w:rsid w:val="00784C60"/>
    <w:rsid w:val="0078512C"/>
    <w:rsid w:val="00786825"/>
    <w:rsid w:val="00790636"/>
    <w:rsid w:val="0079091C"/>
    <w:rsid w:val="007910A7"/>
    <w:rsid w:val="00792485"/>
    <w:rsid w:val="0079295F"/>
    <w:rsid w:val="00793362"/>
    <w:rsid w:val="00794145"/>
    <w:rsid w:val="007945EE"/>
    <w:rsid w:val="007958C1"/>
    <w:rsid w:val="00795FB6"/>
    <w:rsid w:val="007966A2"/>
    <w:rsid w:val="007A0523"/>
    <w:rsid w:val="007A183A"/>
    <w:rsid w:val="007A190C"/>
    <w:rsid w:val="007A1CA0"/>
    <w:rsid w:val="007A2800"/>
    <w:rsid w:val="007A34E4"/>
    <w:rsid w:val="007A466C"/>
    <w:rsid w:val="007A476E"/>
    <w:rsid w:val="007A4C60"/>
    <w:rsid w:val="007A5597"/>
    <w:rsid w:val="007B101D"/>
    <w:rsid w:val="007B2192"/>
    <w:rsid w:val="007B27D2"/>
    <w:rsid w:val="007B354A"/>
    <w:rsid w:val="007B3F30"/>
    <w:rsid w:val="007B4DB3"/>
    <w:rsid w:val="007B72A6"/>
    <w:rsid w:val="007B7C69"/>
    <w:rsid w:val="007C14A5"/>
    <w:rsid w:val="007C1A84"/>
    <w:rsid w:val="007C29C1"/>
    <w:rsid w:val="007C3B09"/>
    <w:rsid w:val="007C3F2B"/>
    <w:rsid w:val="007C4795"/>
    <w:rsid w:val="007C5304"/>
    <w:rsid w:val="007C6107"/>
    <w:rsid w:val="007C618C"/>
    <w:rsid w:val="007C69AC"/>
    <w:rsid w:val="007C7AA0"/>
    <w:rsid w:val="007D0622"/>
    <w:rsid w:val="007D0D90"/>
    <w:rsid w:val="007D0E54"/>
    <w:rsid w:val="007D1BFC"/>
    <w:rsid w:val="007D232A"/>
    <w:rsid w:val="007D2785"/>
    <w:rsid w:val="007D3AF8"/>
    <w:rsid w:val="007D4565"/>
    <w:rsid w:val="007D616A"/>
    <w:rsid w:val="007D6217"/>
    <w:rsid w:val="007D69B5"/>
    <w:rsid w:val="007E0445"/>
    <w:rsid w:val="007E0AF0"/>
    <w:rsid w:val="007E31DC"/>
    <w:rsid w:val="007E31EF"/>
    <w:rsid w:val="007E41DD"/>
    <w:rsid w:val="007E41E7"/>
    <w:rsid w:val="007E4477"/>
    <w:rsid w:val="007E4FFE"/>
    <w:rsid w:val="007E5AE0"/>
    <w:rsid w:val="007E5DDC"/>
    <w:rsid w:val="007E6388"/>
    <w:rsid w:val="007E67D7"/>
    <w:rsid w:val="007E6D69"/>
    <w:rsid w:val="007E6F62"/>
    <w:rsid w:val="007E7EB8"/>
    <w:rsid w:val="007F03F8"/>
    <w:rsid w:val="007F0CF8"/>
    <w:rsid w:val="007F1A0D"/>
    <w:rsid w:val="007F2182"/>
    <w:rsid w:val="007F2B62"/>
    <w:rsid w:val="007F3A39"/>
    <w:rsid w:val="007F3EDB"/>
    <w:rsid w:val="007F40FB"/>
    <w:rsid w:val="007F45C2"/>
    <w:rsid w:val="007F4D15"/>
    <w:rsid w:val="007F7F84"/>
    <w:rsid w:val="00800523"/>
    <w:rsid w:val="00800D71"/>
    <w:rsid w:val="008021F5"/>
    <w:rsid w:val="00804DB0"/>
    <w:rsid w:val="00805F0E"/>
    <w:rsid w:val="008064A3"/>
    <w:rsid w:val="008066DC"/>
    <w:rsid w:val="00807266"/>
    <w:rsid w:val="00810D1B"/>
    <w:rsid w:val="00810FAE"/>
    <w:rsid w:val="008115FC"/>
    <w:rsid w:val="00811AF7"/>
    <w:rsid w:val="00812529"/>
    <w:rsid w:val="00813A29"/>
    <w:rsid w:val="00813FEB"/>
    <w:rsid w:val="00814161"/>
    <w:rsid w:val="00815021"/>
    <w:rsid w:val="00815F52"/>
    <w:rsid w:val="00816A69"/>
    <w:rsid w:val="008171BE"/>
    <w:rsid w:val="008216C5"/>
    <w:rsid w:val="00821E7F"/>
    <w:rsid w:val="00822FD6"/>
    <w:rsid w:val="00824280"/>
    <w:rsid w:val="00824D92"/>
    <w:rsid w:val="00825788"/>
    <w:rsid w:val="00826304"/>
    <w:rsid w:val="0082658E"/>
    <w:rsid w:val="00826A78"/>
    <w:rsid w:val="008306A9"/>
    <w:rsid w:val="00831977"/>
    <w:rsid w:val="00833530"/>
    <w:rsid w:val="0083374A"/>
    <w:rsid w:val="00834D33"/>
    <w:rsid w:val="00835A4F"/>
    <w:rsid w:val="00835C78"/>
    <w:rsid w:val="00835CCF"/>
    <w:rsid w:val="0083654F"/>
    <w:rsid w:val="0083713F"/>
    <w:rsid w:val="00837D67"/>
    <w:rsid w:val="00840813"/>
    <w:rsid w:val="00841E58"/>
    <w:rsid w:val="00846264"/>
    <w:rsid w:val="00846367"/>
    <w:rsid w:val="00846D43"/>
    <w:rsid w:val="00846E1B"/>
    <w:rsid w:val="00847FBD"/>
    <w:rsid w:val="00847FC0"/>
    <w:rsid w:val="00850095"/>
    <w:rsid w:val="0085065C"/>
    <w:rsid w:val="00850B01"/>
    <w:rsid w:val="00850D4A"/>
    <w:rsid w:val="00850E9E"/>
    <w:rsid w:val="00851103"/>
    <w:rsid w:val="00851259"/>
    <w:rsid w:val="0085141F"/>
    <w:rsid w:val="00851A6E"/>
    <w:rsid w:val="00853A79"/>
    <w:rsid w:val="00854696"/>
    <w:rsid w:val="008549D1"/>
    <w:rsid w:val="00854A76"/>
    <w:rsid w:val="00854C0F"/>
    <w:rsid w:val="00855BAF"/>
    <w:rsid w:val="008569F3"/>
    <w:rsid w:val="00856DFA"/>
    <w:rsid w:val="00857A99"/>
    <w:rsid w:val="00857C4D"/>
    <w:rsid w:val="00857DE1"/>
    <w:rsid w:val="0086044E"/>
    <w:rsid w:val="008609A8"/>
    <w:rsid w:val="008609D1"/>
    <w:rsid w:val="00860DBB"/>
    <w:rsid w:val="0086142E"/>
    <w:rsid w:val="008615AA"/>
    <w:rsid w:val="008615F6"/>
    <w:rsid w:val="00862322"/>
    <w:rsid w:val="00862897"/>
    <w:rsid w:val="00862C7B"/>
    <w:rsid w:val="0086354E"/>
    <w:rsid w:val="00863BF3"/>
    <w:rsid w:val="00863DDF"/>
    <w:rsid w:val="00864819"/>
    <w:rsid w:val="008664B3"/>
    <w:rsid w:val="00867644"/>
    <w:rsid w:val="008679F2"/>
    <w:rsid w:val="00867B04"/>
    <w:rsid w:val="00867D93"/>
    <w:rsid w:val="00872019"/>
    <w:rsid w:val="008720BE"/>
    <w:rsid w:val="008722CF"/>
    <w:rsid w:val="008731B9"/>
    <w:rsid w:val="00873428"/>
    <w:rsid w:val="00873AE3"/>
    <w:rsid w:val="00874FB3"/>
    <w:rsid w:val="008756E8"/>
    <w:rsid w:val="00875E51"/>
    <w:rsid w:val="00876AED"/>
    <w:rsid w:val="00876EAD"/>
    <w:rsid w:val="0087789C"/>
    <w:rsid w:val="00877E5A"/>
    <w:rsid w:val="008800AD"/>
    <w:rsid w:val="00881301"/>
    <w:rsid w:val="00881FCA"/>
    <w:rsid w:val="00883635"/>
    <w:rsid w:val="0088523D"/>
    <w:rsid w:val="00885A44"/>
    <w:rsid w:val="00885BF6"/>
    <w:rsid w:val="00885C5C"/>
    <w:rsid w:val="0088766D"/>
    <w:rsid w:val="00892585"/>
    <w:rsid w:val="00892FB4"/>
    <w:rsid w:val="00893D08"/>
    <w:rsid w:val="00894BA6"/>
    <w:rsid w:val="00896022"/>
    <w:rsid w:val="00896144"/>
    <w:rsid w:val="00896891"/>
    <w:rsid w:val="00897A7D"/>
    <w:rsid w:val="008A08AE"/>
    <w:rsid w:val="008A0C7B"/>
    <w:rsid w:val="008A109D"/>
    <w:rsid w:val="008A16F4"/>
    <w:rsid w:val="008A1D2F"/>
    <w:rsid w:val="008A1EDC"/>
    <w:rsid w:val="008A1F1F"/>
    <w:rsid w:val="008A2869"/>
    <w:rsid w:val="008A3C7C"/>
    <w:rsid w:val="008A4F1B"/>
    <w:rsid w:val="008A691D"/>
    <w:rsid w:val="008B04EC"/>
    <w:rsid w:val="008B08CB"/>
    <w:rsid w:val="008B1222"/>
    <w:rsid w:val="008B22F5"/>
    <w:rsid w:val="008B2EE9"/>
    <w:rsid w:val="008B4B9D"/>
    <w:rsid w:val="008B5D5A"/>
    <w:rsid w:val="008B6101"/>
    <w:rsid w:val="008B61FD"/>
    <w:rsid w:val="008B7410"/>
    <w:rsid w:val="008B77BB"/>
    <w:rsid w:val="008C0977"/>
    <w:rsid w:val="008C1851"/>
    <w:rsid w:val="008C2112"/>
    <w:rsid w:val="008C2AC7"/>
    <w:rsid w:val="008C2E08"/>
    <w:rsid w:val="008C5FD5"/>
    <w:rsid w:val="008C663D"/>
    <w:rsid w:val="008C723F"/>
    <w:rsid w:val="008C7434"/>
    <w:rsid w:val="008C75B5"/>
    <w:rsid w:val="008C7AA4"/>
    <w:rsid w:val="008C7EFC"/>
    <w:rsid w:val="008D1674"/>
    <w:rsid w:val="008D2388"/>
    <w:rsid w:val="008D2397"/>
    <w:rsid w:val="008D26BB"/>
    <w:rsid w:val="008D29AC"/>
    <w:rsid w:val="008D2F4C"/>
    <w:rsid w:val="008D3F5F"/>
    <w:rsid w:val="008D3F70"/>
    <w:rsid w:val="008D4B1A"/>
    <w:rsid w:val="008D5112"/>
    <w:rsid w:val="008D5ED1"/>
    <w:rsid w:val="008D6391"/>
    <w:rsid w:val="008D740C"/>
    <w:rsid w:val="008E30CC"/>
    <w:rsid w:val="008E33BB"/>
    <w:rsid w:val="008E3C62"/>
    <w:rsid w:val="008E3F3A"/>
    <w:rsid w:val="008E4CF1"/>
    <w:rsid w:val="008E511E"/>
    <w:rsid w:val="008E5220"/>
    <w:rsid w:val="008E5562"/>
    <w:rsid w:val="008E56B2"/>
    <w:rsid w:val="008E62A4"/>
    <w:rsid w:val="008E695F"/>
    <w:rsid w:val="008E6D09"/>
    <w:rsid w:val="008F17F2"/>
    <w:rsid w:val="008F3A81"/>
    <w:rsid w:val="008F3BDD"/>
    <w:rsid w:val="008F606D"/>
    <w:rsid w:val="008F799B"/>
    <w:rsid w:val="008F7A9B"/>
    <w:rsid w:val="008F7F2F"/>
    <w:rsid w:val="0090049F"/>
    <w:rsid w:val="0090094C"/>
    <w:rsid w:val="0090139A"/>
    <w:rsid w:val="00901AFB"/>
    <w:rsid w:val="009022D3"/>
    <w:rsid w:val="00902C7B"/>
    <w:rsid w:val="00903475"/>
    <w:rsid w:val="00903B5B"/>
    <w:rsid w:val="00904387"/>
    <w:rsid w:val="0090505A"/>
    <w:rsid w:val="00905550"/>
    <w:rsid w:val="00907F43"/>
    <w:rsid w:val="009103B9"/>
    <w:rsid w:val="00911869"/>
    <w:rsid w:val="00911AF2"/>
    <w:rsid w:val="0091256F"/>
    <w:rsid w:val="00914115"/>
    <w:rsid w:val="00915404"/>
    <w:rsid w:val="00915497"/>
    <w:rsid w:val="009171F1"/>
    <w:rsid w:val="009176F0"/>
    <w:rsid w:val="00920CCC"/>
    <w:rsid w:val="009211E0"/>
    <w:rsid w:val="009212CD"/>
    <w:rsid w:val="0092211C"/>
    <w:rsid w:val="009221E4"/>
    <w:rsid w:val="00922614"/>
    <w:rsid w:val="00922BDA"/>
    <w:rsid w:val="00923C28"/>
    <w:rsid w:val="0092514C"/>
    <w:rsid w:val="00925636"/>
    <w:rsid w:val="00925895"/>
    <w:rsid w:val="00926186"/>
    <w:rsid w:val="00926BE1"/>
    <w:rsid w:val="00926D3A"/>
    <w:rsid w:val="00926FBC"/>
    <w:rsid w:val="00927158"/>
    <w:rsid w:val="009309CD"/>
    <w:rsid w:val="00932270"/>
    <w:rsid w:val="00933CFC"/>
    <w:rsid w:val="00933E79"/>
    <w:rsid w:val="009354BD"/>
    <w:rsid w:val="009361EE"/>
    <w:rsid w:val="0093670D"/>
    <w:rsid w:val="00940D60"/>
    <w:rsid w:val="00941356"/>
    <w:rsid w:val="0094236E"/>
    <w:rsid w:val="00943E9B"/>
    <w:rsid w:val="00944F72"/>
    <w:rsid w:val="009454E2"/>
    <w:rsid w:val="00946927"/>
    <w:rsid w:val="00946C34"/>
    <w:rsid w:val="00947074"/>
    <w:rsid w:val="009475C3"/>
    <w:rsid w:val="00947965"/>
    <w:rsid w:val="00951421"/>
    <w:rsid w:val="0095162F"/>
    <w:rsid w:val="00952C88"/>
    <w:rsid w:val="00952E9A"/>
    <w:rsid w:val="009547A9"/>
    <w:rsid w:val="00954AB3"/>
    <w:rsid w:val="0095517B"/>
    <w:rsid w:val="00956221"/>
    <w:rsid w:val="0095691E"/>
    <w:rsid w:val="009574C2"/>
    <w:rsid w:val="00960B1D"/>
    <w:rsid w:val="00961610"/>
    <w:rsid w:val="00961B87"/>
    <w:rsid w:val="0096293C"/>
    <w:rsid w:val="00963801"/>
    <w:rsid w:val="009641AD"/>
    <w:rsid w:val="00965364"/>
    <w:rsid w:val="00966487"/>
    <w:rsid w:val="0096781B"/>
    <w:rsid w:val="00967FE8"/>
    <w:rsid w:val="00970FC5"/>
    <w:rsid w:val="0097103C"/>
    <w:rsid w:val="00973113"/>
    <w:rsid w:val="009749D4"/>
    <w:rsid w:val="009762F4"/>
    <w:rsid w:val="009772E6"/>
    <w:rsid w:val="0098012A"/>
    <w:rsid w:val="0098096C"/>
    <w:rsid w:val="00980C9D"/>
    <w:rsid w:val="0098179D"/>
    <w:rsid w:val="009828D2"/>
    <w:rsid w:val="009838C1"/>
    <w:rsid w:val="009839EC"/>
    <w:rsid w:val="00984C72"/>
    <w:rsid w:val="00984CD1"/>
    <w:rsid w:val="00985716"/>
    <w:rsid w:val="0098709A"/>
    <w:rsid w:val="00990063"/>
    <w:rsid w:val="0099018F"/>
    <w:rsid w:val="0099109D"/>
    <w:rsid w:val="00991959"/>
    <w:rsid w:val="00992D06"/>
    <w:rsid w:val="009950D4"/>
    <w:rsid w:val="0099537E"/>
    <w:rsid w:val="00995839"/>
    <w:rsid w:val="00995E39"/>
    <w:rsid w:val="009969A3"/>
    <w:rsid w:val="00997D5E"/>
    <w:rsid w:val="009A0217"/>
    <w:rsid w:val="009A05F6"/>
    <w:rsid w:val="009A0748"/>
    <w:rsid w:val="009A0966"/>
    <w:rsid w:val="009A1082"/>
    <w:rsid w:val="009A1D3E"/>
    <w:rsid w:val="009A3558"/>
    <w:rsid w:val="009A3D19"/>
    <w:rsid w:val="009A4917"/>
    <w:rsid w:val="009A5410"/>
    <w:rsid w:val="009A565C"/>
    <w:rsid w:val="009A74D5"/>
    <w:rsid w:val="009B003B"/>
    <w:rsid w:val="009B0FC0"/>
    <w:rsid w:val="009B17E6"/>
    <w:rsid w:val="009B1BF7"/>
    <w:rsid w:val="009B2634"/>
    <w:rsid w:val="009B2808"/>
    <w:rsid w:val="009B406A"/>
    <w:rsid w:val="009B4EE1"/>
    <w:rsid w:val="009B573F"/>
    <w:rsid w:val="009B57D0"/>
    <w:rsid w:val="009B59D7"/>
    <w:rsid w:val="009B6041"/>
    <w:rsid w:val="009B6974"/>
    <w:rsid w:val="009B6A77"/>
    <w:rsid w:val="009B7308"/>
    <w:rsid w:val="009C18E5"/>
    <w:rsid w:val="009C1CA5"/>
    <w:rsid w:val="009C20EA"/>
    <w:rsid w:val="009C212D"/>
    <w:rsid w:val="009C4406"/>
    <w:rsid w:val="009C4D3B"/>
    <w:rsid w:val="009C6598"/>
    <w:rsid w:val="009C7E2A"/>
    <w:rsid w:val="009D193F"/>
    <w:rsid w:val="009D1F3D"/>
    <w:rsid w:val="009D35E5"/>
    <w:rsid w:val="009D4079"/>
    <w:rsid w:val="009D6611"/>
    <w:rsid w:val="009D7022"/>
    <w:rsid w:val="009D7DD4"/>
    <w:rsid w:val="009E00A2"/>
    <w:rsid w:val="009E0FBA"/>
    <w:rsid w:val="009E1A64"/>
    <w:rsid w:val="009E25F8"/>
    <w:rsid w:val="009E41EE"/>
    <w:rsid w:val="009E6A98"/>
    <w:rsid w:val="009F0218"/>
    <w:rsid w:val="009F0B34"/>
    <w:rsid w:val="009F0BAA"/>
    <w:rsid w:val="009F1176"/>
    <w:rsid w:val="009F1EC3"/>
    <w:rsid w:val="009F276A"/>
    <w:rsid w:val="009F2C5B"/>
    <w:rsid w:val="009F644E"/>
    <w:rsid w:val="009F69D5"/>
    <w:rsid w:val="009F7710"/>
    <w:rsid w:val="009F77A2"/>
    <w:rsid w:val="009F7E63"/>
    <w:rsid w:val="00A027B6"/>
    <w:rsid w:val="00A03217"/>
    <w:rsid w:val="00A037DB"/>
    <w:rsid w:val="00A04154"/>
    <w:rsid w:val="00A04EAD"/>
    <w:rsid w:val="00A05DAB"/>
    <w:rsid w:val="00A06A5A"/>
    <w:rsid w:val="00A07736"/>
    <w:rsid w:val="00A1055A"/>
    <w:rsid w:val="00A11534"/>
    <w:rsid w:val="00A12A2D"/>
    <w:rsid w:val="00A12BE7"/>
    <w:rsid w:val="00A138DA"/>
    <w:rsid w:val="00A156FF"/>
    <w:rsid w:val="00A15D0D"/>
    <w:rsid w:val="00A15E0C"/>
    <w:rsid w:val="00A16178"/>
    <w:rsid w:val="00A16598"/>
    <w:rsid w:val="00A2236C"/>
    <w:rsid w:val="00A23412"/>
    <w:rsid w:val="00A23ABC"/>
    <w:rsid w:val="00A245D7"/>
    <w:rsid w:val="00A2473B"/>
    <w:rsid w:val="00A2580B"/>
    <w:rsid w:val="00A26A5F"/>
    <w:rsid w:val="00A27251"/>
    <w:rsid w:val="00A30D16"/>
    <w:rsid w:val="00A313B6"/>
    <w:rsid w:val="00A32093"/>
    <w:rsid w:val="00A32E19"/>
    <w:rsid w:val="00A33B0F"/>
    <w:rsid w:val="00A3485B"/>
    <w:rsid w:val="00A357A1"/>
    <w:rsid w:val="00A40825"/>
    <w:rsid w:val="00A4270A"/>
    <w:rsid w:val="00A4301B"/>
    <w:rsid w:val="00A431F3"/>
    <w:rsid w:val="00A43252"/>
    <w:rsid w:val="00A43476"/>
    <w:rsid w:val="00A43CD5"/>
    <w:rsid w:val="00A44172"/>
    <w:rsid w:val="00A44B4B"/>
    <w:rsid w:val="00A45163"/>
    <w:rsid w:val="00A45A1B"/>
    <w:rsid w:val="00A476D9"/>
    <w:rsid w:val="00A51373"/>
    <w:rsid w:val="00A52A68"/>
    <w:rsid w:val="00A5424C"/>
    <w:rsid w:val="00A54322"/>
    <w:rsid w:val="00A54799"/>
    <w:rsid w:val="00A55C5D"/>
    <w:rsid w:val="00A57216"/>
    <w:rsid w:val="00A5777B"/>
    <w:rsid w:val="00A6011C"/>
    <w:rsid w:val="00A60B79"/>
    <w:rsid w:val="00A61855"/>
    <w:rsid w:val="00A61A11"/>
    <w:rsid w:val="00A627C6"/>
    <w:rsid w:val="00A6308B"/>
    <w:rsid w:val="00A63586"/>
    <w:rsid w:val="00A637CD"/>
    <w:rsid w:val="00A64956"/>
    <w:rsid w:val="00A64CE6"/>
    <w:rsid w:val="00A6561E"/>
    <w:rsid w:val="00A65811"/>
    <w:rsid w:val="00A668AF"/>
    <w:rsid w:val="00A67709"/>
    <w:rsid w:val="00A70313"/>
    <w:rsid w:val="00A712B6"/>
    <w:rsid w:val="00A72E7A"/>
    <w:rsid w:val="00A72F7F"/>
    <w:rsid w:val="00A7368C"/>
    <w:rsid w:val="00A73C60"/>
    <w:rsid w:val="00A73E47"/>
    <w:rsid w:val="00A74AFD"/>
    <w:rsid w:val="00A74B7D"/>
    <w:rsid w:val="00A7662D"/>
    <w:rsid w:val="00A804AD"/>
    <w:rsid w:val="00A81A17"/>
    <w:rsid w:val="00A822A4"/>
    <w:rsid w:val="00A82C4C"/>
    <w:rsid w:val="00A82EA9"/>
    <w:rsid w:val="00A83294"/>
    <w:rsid w:val="00A834CF"/>
    <w:rsid w:val="00A837AB"/>
    <w:rsid w:val="00A83E53"/>
    <w:rsid w:val="00A83F30"/>
    <w:rsid w:val="00A84637"/>
    <w:rsid w:val="00A8496C"/>
    <w:rsid w:val="00A85ACA"/>
    <w:rsid w:val="00A85DE4"/>
    <w:rsid w:val="00A87992"/>
    <w:rsid w:val="00A87D1A"/>
    <w:rsid w:val="00A90A4D"/>
    <w:rsid w:val="00A92B90"/>
    <w:rsid w:val="00A92C6B"/>
    <w:rsid w:val="00A92D66"/>
    <w:rsid w:val="00A9307B"/>
    <w:rsid w:val="00A93A6C"/>
    <w:rsid w:val="00A94442"/>
    <w:rsid w:val="00A94A37"/>
    <w:rsid w:val="00A94C46"/>
    <w:rsid w:val="00A96561"/>
    <w:rsid w:val="00A9657D"/>
    <w:rsid w:val="00A9735D"/>
    <w:rsid w:val="00AA01E9"/>
    <w:rsid w:val="00AA09D0"/>
    <w:rsid w:val="00AA25F1"/>
    <w:rsid w:val="00AA2E08"/>
    <w:rsid w:val="00AA2E0C"/>
    <w:rsid w:val="00AA42AB"/>
    <w:rsid w:val="00AA5922"/>
    <w:rsid w:val="00AA5BC1"/>
    <w:rsid w:val="00AA5C9D"/>
    <w:rsid w:val="00AA6896"/>
    <w:rsid w:val="00AB125F"/>
    <w:rsid w:val="00AB155C"/>
    <w:rsid w:val="00AB288B"/>
    <w:rsid w:val="00AB2A0A"/>
    <w:rsid w:val="00AB34D0"/>
    <w:rsid w:val="00AB4112"/>
    <w:rsid w:val="00AB500E"/>
    <w:rsid w:val="00AB72CF"/>
    <w:rsid w:val="00AB7A07"/>
    <w:rsid w:val="00AC033E"/>
    <w:rsid w:val="00AC1034"/>
    <w:rsid w:val="00AC1644"/>
    <w:rsid w:val="00AC1AB1"/>
    <w:rsid w:val="00AC271D"/>
    <w:rsid w:val="00AC3AE4"/>
    <w:rsid w:val="00AC5BD8"/>
    <w:rsid w:val="00AC68CE"/>
    <w:rsid w:val="00AC695B"/>
    <w:rsid w:val="00AC72B1"/>
    <w:rsid w:val="00AD0044"/>
    <w:rsid w:val="00AD0927"/>
    <w:rsid w:val="00AD16DF"/>
    <w:rsid w:val="00AD1BE1"/>
    <w:rsid w:val="00AD2113"/>
    <w:rsid w:val="00AD2A00"/>
    <w:rsid w:val="00AD4159"/>
    <w:rsid w:val="00AD5ADF"/>
    <w:rsid w:val="00AD6BEA"/>
    <w:rsid w:val="00AD731A"/>
    <w:rsid w:val="00AD7C7F"/>
    <w:rsid w:val="00AD7E52"/>
    <w:rsid w:val="00AE0A4A"/>
    <w:rsid w:val="00AE10BC"/>
    <w:rsid w:val="00AE301A"/>
    <w:rsid w:val="00AE3DFF"/>
    <w:rsid w:val="00AE51F6"/>
    <w:rsid w:val="00AE5C08"/>
    <w:rsid w:val="00AE5F02"/>
    <w:rsid w:val="00AE7654"/>
    <w:rsid w:val="00AE7B8C"/>
    <w:rsid w:val="00AF06A8"/>
    <w:rsid w:val="00AF0D69"/>
    <w:rsid w:val="00AF4872"/>
    <w:rsid w:val="00AF58E8"/>
    <w:rsid w:val="00AF5A99"/>
    <w:rsid w:val="00AF6EAB"/>
    <w:rsid w:val="00AF777F"/>
    <w:rsid w:val="00AF7810"/>
    <w:rsid w:val="00AF7D26"/>
    <w:rsid w:val="00B00B58"/>
    <w:rsid w:val="00B00BF3"/>
    <w:rsid w:val="00B00C93"/>
    <w:rsid w:val="00B02A57"/>
    <w:rsid w:val="00B02A78"/>
    <w:rsid w:val="00B02E22"/>
    <w:rsid w:val="00B03E36"/>
    <w:rsid w:val="00B04F82"/>
    <w:rsid w:val="00B05249"/>
    <w:rsid w:val="00B05350"/>
    <w:rsid w:val="00B059D5"/>
    <w:rsid w:val="00B05DFB"/>
    <w:rsid w:val="00B066B8"/>
    <w:rsid w:val="00B11044"/>
    <w:rsid w:val="00B12FF6"/>
    <w:rsid w:val="00B14B4B"/>
    <w:rsid w:val="00B16E3E"/>
    <w:rsid w:val="00B176BD"/>
    <w:rsid w:val="00B17903"/>
    <w:rsid w:val="00B17E30"/>
    <w:rsid w:val="00B203B5"/>
    <w:rsid w:val="00B20D62"/>
    <w:rsid w:val="00B20DB9"/>
    <w:rsid w:val="00B22122"/>
    <w:rsid w:val="00B22ABC"/>
    <w:rsid w:val="00B22D5A"/>
    <w:rsid w:val="00B24517"/>
    <w:rsid w:val="00B2466D"/>
    <w:rsid w:val="00B24FEE"/>
    <w:rsid w:val="00B25FF2"/>
    <w:rsid w:val="00B26FFB"/>
    <w:rsid w:val="00B2737E"/>
    <w:rsid w:val="00B2756C"/>
    <w:rsid w:val="00B2769E"/>
    <w:rsid w:val="00B308D0"/>
    <w:rsid w:val="00B30EAF"/>
    <w:rsid w:val="00B30FD1"/>
    <w:rsid w:val="00B33CE3"/>
    <w:rsid w:val="00B34486"/>
    <w:rsid w:val="00B35994"/>
    <w:rsid w:val="00B35F16"/>
    <w:rsid w:val="00B36183"/>
    <w:rsid w:val="00B40B36"/>
    <w:rsid w:val="00B41503"/>
    <w:rsid w:val="00B4285A"/>
    <w:rsid w:val="00B42AAD"/>
    <w:rsid w:val="00B4323B"/>
    <w:rsid w:val="00B45C0F"/>
    <w:rsid w:val="00B45EBA"/>
    <w:rsid w:val="00B46417"/>
    <w:rsid w:val="00B46804"/>
    <w:rsid w:val="00B4687E"/>
    <w:rsid w:val="00B5039B"/>
    <w:rsid w:val="00B51F83"/>
    <w:rsid w:val="00B52294"/>
    <w:rsid w:val="00B5278D"/>
    <w:rsid w:val="00B53366"/>
    <w:rsid w:val="00B546ED"/>
    <w:rsid w:val="00B55913"/>
    <w:rsid w:val="00B56803"/>
    <w:rsid w:val="00B5711D"/>
    <w:rsid w:val="00B575A3"/>
    <w:rsid w:val="00B57B9B"/>
    <w:rsid w:val="00B601D3"/>
    <w:rsid w:val="00B604FD"/>
    <w:rsid w:val="00B61360"/>
    <w:rsid w:val="00B61769"/>
    <w:rsid w:val="00B61B2E"/>
    <w:rsid w:val="00B61E9B"/>
    <w:rsid w:val="00B63079"/>
    <w:rsid w:val="00B646CD"/>
    <w:rsid w:val="00B649D2"/>
    <w:rsid w:val="00B64EE4"/>
    <w:rsid w:val="00B65083"/>
    <w:rsid w:val="00B6589A"/>
    <w:rsid w:val="00B662A2"/>
    <w:rsid w:val="00B66B96"/>
    <w:rsid w:val="00B66E21"/>
    <w:rsid w:val="00B66EB6"/>
    <w:rsid w:val="00B70A62"/>
    <w:rsid w:val="00B70A63"/>
    <w:rsid w:val="00B71037"/>
    <w:rsid w:val="00B71AA4"/>
    <w:rsid w:val="00B71B23"/>
    <w:rsid w:val="00B720C4"/>
    <w:rsid w:val="00B72B85"/>
    <w:rsid w:val="00B7359E"/>
    <w:rsid w:val="00B73922"/>
    <w:rsid w:val="00B75325"/>
    <w:rsid w:val="00B80675"/>
    <w:rsid w:val="00B81A6B"/>
    <w:rsid w:val="00B821B2"/>
    <w:rsid w:val="00B83906"/>
    <w:rsid w:val="00B83D96"/>
    <w:rsid w:val="00B85C07"/>
    <w:rsid w:val="00B863D1"/>
    <w:rsid w:val="00B9009B"/>
    <w:rsid w:val="00B90227"/>
    <w:rsid w:val="00B90ABE"/>
    <w:rsid w:val="00B94CC0"/>
    <w:rsid w:val="00B953E3"/>
    <w:rsid w:val="00B9741F"/>
    <w:rsid w:val="00BA049E"/>
    <w:rsid w:val="00BA1C30"/>
    <w:rsid w:val="00BA3365"/>
    <w:rsid w:val="00BA4CB0"/>
    <w:rsid w:val="00BA51AB"/>
    <w:rsid w:val="00BA5421"/>
    <w:rsid w:val="00BA64DE"/>
    <w:rsid w:val="00BA6A0E"/>
    <w:rsid w:val="00BA6B9B"/>
    <w:rsid w:val="00BA720A"/>
    <w:rsid w:val="00BA7505"/>
    <w:rsid w:val="00BA7A80"/>
    <w:rsid w:val="00BB1AFE"/>
    <w:rsid w:val="00BB1F99"/>
    <w:rsid w:val="00BB38D0"/>
    <w:rsid w:val="00BB403A"/>
    <w:rsid w:val="00BB4053"/>
    <w:rsid w:val="00BB41DA"/>
    <w:rsid w:val="00BB4A3B"/>
    <w:rsid w:val="00BB5190"/>
    <w:rsid w:val="00BB69F8"/>
    <w:rsid w:val="00BB760D"/>
    <w:rsid w:val="00BC0ACD"/>
    <w:rsid w:val="00BC0CE6"/>
    <w:rsid w:val="00BC3F40"/>
    <w:rsid w:val="00BC3FFC"/>
    <w:rsid w:val="00BC490C"/>
    <w:rsid w:val="00BC7941"/>
    <w:rsid w:val="00BD1893"/>
    <w:rsid w:val="00BD2518"/>
    <w:rsid w:val="00BD3282"/>
    <w:rsid w:val="00BD43D2"/>
    <w:rsid w:val="00BD4669"/>
    <w:rsid w:val="00BD50B5"/>
    <w:rsid w:val="00BD5D62"/>
    <w:rsid w:val="00BD7524"/>
    <w:rsid w:val="00BE0FB8"/>
    <w:rsid w:val="00BE142F"/>
    <w:rsid w:val="00BE1C79"/>
    <w:rsid w:val="00BE1E17"/>
    <w:rsid w:val="00BE244F"/>
    <w:rsid w:val="00BE35D6"/>
    <w:rsid w:val="00BE62D5"/>
    <w:rsid w:val="00BE6ABD"/>
    <w:rsid w:val="00BE7057"/>
    <w:rsid w:val="00BE7C65"/>
    <w:rsid w:val="00BF0814"/>
    <w:rsid w:val="00BF0B58"/>
    <w:rsid w:val="00BF0DB7"/>
    <w:rsid w:val="00BF10C5"/>
    <w:rsid w:val="00BF168E"/>
    <w:rsid w:val="00BF1A0F"/>
    <w:rsid w:val="00BF1BEB"/>
    <w:rsid w:val="00BF1BF6"/>
    <w:rsid w:val="00BF25BD"/>
    <w:rsid w:val="00BF294D"/>
    <w:rsid w:val="00BF3116"/>
    <w:rsid w:val="00BF329C"/>
    <w:rsid w:val="00BF32EA"/>
    <w:rsid w:val="00BF40FF"/>
    <w:rsid w:val="00BF4903"/>
    <w:rsid w:val="00BF4ABF"/>
    <w:rsid w:val="00BF5AAD"/>
    <w:rsid w:val="00BF6269"/>
    <w:rsid w:val="00BF68EA"/>
    <w:rsid w:val="00BF6C43"/>
    <w:rsid w:val="00C003D3"/>
    <w:rsid w:val="00C00A06"/>
    <w:rsid w:val="00C01283"/>
    <w:rsid w:val="00C02285"/>
    <w:rsid w:val="00C02453"/>
    <w:rsid w:val="00C03610"/>
    <w:rsid w:val="00C03F60"/>
    <w:rsid w:val="00C05504"/>
    <w:rsid w:val="00C05711"/>
    <w:rsid w:val="00C05F70"/>
    <w:rsid w:val="00C06959"/>
    <w:rsid w:val="00C06C45"/>
    <w:rsid w:val="00C0707C"/>
    <w:rsid w:val="00C071AE"/>
    <w:rsid w:val="00C10526"/>
    <w:rsid w:val="00C10FFD"/>
    <w:rsid w:val="00C11990"/>
    <w:rsid w:val="00C119D4"/>
    <w:rsid w:val="00C137E2"/>
    <w:rsid w:val="00C147F8"/>
    <w:rsid w:val="00C15670"/>
    <w:rsid w:val="00C163D7"/>
    <w:rsid w:val="00C164FD"/>
    <w:rsid w:val="00C16DF1"/>
    <w:rsid w:val="00C17012"/>
    <w:rsid w:val="00C17152"/>
    <w:rsid w:val="00C17F3E"/>
    <w:rsid w:val="00C20AB0"/>
    <w:rsid w:val="00C20C67"/>
    <w:rsid w:val="00C22166"/>
    <w:rsid w:val="00C24212"/>
    <w:rsid w:val="00C26CFC"/>
    <w:rsid w:val="00C2739B"/>
    <w:rsid w:val="00C27E19"/>
    <w:rsid w:val="00C30329"/>
    <w:rsid w:val="00C324D5"/>
    <w:rsid w:val="00C32A9D"/>
    <w:rsid w:val="00C3306E"/>
    <w:rsid w:val="00C33C72"/>
    <w:rsid w:val="00C363CD"/>
    <w:rsid w:val="00C3674E"/>
    <w:rsid w:val="00C36ACF"/>
    <w:rsid w:val="00C36E9A"/>
    <w:rsid w:val="00C4037F"/>
    <w:rsid w:val="00C403B3"/>
    <w:rsid w:val="00C417B7"/>
    <w:rsid w:val="00C419E2"/>
    <w:rsid w:val="00C42CDD"/>
    <w:rsid w:val="00C430E5"/>
    <w:rsid w:val="00C436EE"/>
    <w:rsid w:val="00C43BAF"/>
    <w:rsid w:val="00C44353"/>
    <w:rsid w:val="00C45655"/>
    <w:rsid w:val="00C45AA0"/>
    <w:rsid w:val="00C46DDF"/>
    <w:rsid w:val="00C47B2C"/>
    <w:rsid w:val="00C50441"/>
    <w:rsid w:val="00C50B16"/>
    <w:rsid w:val="00C50BF8"/>
    <w:rsid w:val="00C51620"/>
    <w:rsid w:val="00C5192C"/>
    <w:rsid w:val="00C5270C"/>
    <w:rsid w:val="00C52C05"/>
    <w:rsid w:val="00C54732"/>
    <w:rsid w:val="00C55F41"/>
    <w:rsid w:val="00C5645F"/>
    <w:rsid w:val="00C567E0"/>
    <w:rsid w:val="00C56FC4"/>
    <w:rsid w:val="00C570BB"/>
    <w:rsid w:val="00C60647"/>
    <w:rsid w:val="00C60F0C"/>
    <w:rsid w:val="00C610B5"/>
    <w:rsid w:val="00C613CA"/>
    <w:rsid w:val="00C633D5"/>
    <w:rsid w:val="00C652CD"/>
    <w:rsid w:val="00C6551F"/>
    <w:rsid w:val="00C657ED"/>
    <w:rsid w:val="00C66384"/>
    <w:rsid w:val="00C66FA0"/>
    <w:rsid w:val="00C70263"/>
    <w:rsid w:val="00C70A4D"/>
    <w:rsid w:val="00C70B64"/>
    <w:rsid w:val="00C71F67"/>
    <w:rsid w:val="00C72EFE"/>
    <w:rsid w:val="00C73E0F"/>
    <w:rsid w:val="00C749C3"/>
    <w:rsid w:val="00C74DE4"/>
    <w:rsid w:val="00C7566A"/>
    <w:rsid w:val="00C75D5B"/>
    <w:rsid w:val="00C801BA"/>
    <w:rsid w:val="00C811F2"/>
    <w:rsid w:val="00C81FEE"/>
    <w:rsid w:val="00C825C8"/>
    <w:rsid w:val="00C82E65"/>
    <w:rsid w:val="00C82FC0"/>
    <w:rsid w:val="00C83071"/>
    <w:rsid w:val="00C830E1"/>
    <w:rsid w:val="00C8317E"/>
    <w:rsid w:val="00C8327F"/>
    <w:rsid w:val="00C837B1"/>
    <w:rsid w:val="00C86C67"/>
    <w:rsid w:val="00C872AC"/>
    <w:rsid w:val="00C87E6A"/>
    <w:rsid w:val="00C90F95"/>
    <w:rsid w:val="00C9213E"/>
    <w:rsid w:val="00C921AD"/>
    <w:rsid w:val="00C92EA5"/>
    <w:rsid w:val="00C93DE2"/>
    <w:rsid w:val="00C93F96"/>
    <w:rsid w:val="00C94611"/>
    <w:rsid w:val="00C96863"/>
    <w:rsid w:val="00C979E7"/>
    <w:rsid w:val="00C97CA2"/>
    <w:rsid w:val="00CA08AE"/>
    <w:rsid w:val="00CA0BD7"/>
    <w:rsid w:val="00CA115F"/>
    <w:rsid w:val="00CA2870"/>
    <w:rsid w:val="00CA2BEE"/>
    <w:rsid w:val="00CA2F2B"/>
    <w:rsid w:val="00CA443A"/>
    <w:rsid w:val="00CA4557"/>
    <w:rsid w:val="00CA4A28"/>
    <w:rsid w:val="00CA4BF8"/>
    <w:rsid w:val="00CA527D"/>
    <w:rsid w:val="00CA54F1"/>
    <w:rsid w:val="00CA606F"/>
    <w:rsid w:val="00CA6470"/>
    <w:rsid w:val="00CA799E"/>
    <w:rsid w:val="00CB0F58"/>
    <w:rsid w:val="00CB165C"/>
    <w:rsid w:val="00CB18E9"/>
    <w:rsid w:val="00CB2A07"/>
    <w:rsid w:val="00CB48D8"/>
    <w:rsid w:val="00CB50ED"/>
    <w:rsid w:val="00CB5130"/>
    <w:rsid w:val="00CB5AF4"/>
    <w:rsid w:val="00CB5D83"/>
    <w:rsid w:val="00CB67F5"/>
    <w:rsid w:val="00CB6C45"/>
    <w:rsid w:val="00CB6E7E"/>
    <w:rsid w:val="00CB773C"/>
    <w:rsid w:val="00CB779F"/>
    <w:rsid w:val="00CC041A"/>
    <w:rsid w:val="00CC0601"/>
    <w:rsid w:val="00CC0AF5"/>
    <w:rsid w:val="00CC16E2"/>
    <w:rsid w:val="00CC1E1D"/>
    <w:rsid w:val="00CC1E3B"/>
    <w:rsid w:val="00CC2C95"/>
    <w:rsid w:val="00CC3425"/>
    <w:rsid w:val="00CC4C3A"/>
    <w:rsid w:val="00CC6CA4"/>
    <w:rsid w:val="00CD04ED"/>
    <w:rsid w:val="00CD0F23"/>
    <w:rsid w:val="00CD1254"/>
    <w:rsid w:val="00CD3B61"/>
    <w:rsid w:val="00CD3DB2"/>
    <w:rsid w:val="00CD425A"/>
    <w:rsid w:val="00CD4B4C"/>
    <w:rsid w:val="00CD5620"/>
    <w:rsid w:val="00CD6714"/>
    <w:rsid w:val="00CD6ECB"/>
    <w:rsid w:val="00CD77C9"/>
    <w:rsid w:val="00CE0312"/>
    <w:rsid w:val="00CE05EF"/>
    <w:rsid w:val="00CE18BB"/>
    <w:rsid w:val="00CE3862"/>
    <w:rsid w:val="00CE3C8C"/>
    <w:rsid w:val="00CE4C0B"/>
    <w:rsid w:val="00CE5800"/>
    <w:rsid w:val="00CE5D30"/>
    <w:rsid w:val="00CE6AFA"/>
    <w:rsid w:val="00CE7C6A"/>
    <w:rsid w:val="00CF0615"/>
    <w:rsid w:val="00CF1FDE"/>
    <w:rsid w:val="00CF2452"/>
    <w:rsid w:val="00CF33F5"/>
    <w:rsid w:val="00CF4A5C"/>
    <w:rsid w:val="00CF4C84"/>
    <w:rsid w:val="00CF4E23"/>
    <w:rsid w:val="00CF547B"/>
    <w:rsid w:val="00CF62FD"/>
    <w:rsid w:val="00CF6DC1"/>
    <w:rsid w:val="00D00B95"/>
    <w:rsid w:val="00D010BC"/>
    <w:rsid w:val="00D011AA"/>
    <w:rsid w:val="00D02D37"/>
    <w:rsid w:val="00D02F22"/>
    <w:rsid w:val="00D03D26"/>
    <w:rsid w:val="00D05FAA"/>
    <w:rsid w:val="00D06D98"/>
    <w:rsid w:val="00D10A2E"/>
    <w:rsid w:val="00D10BAD"/>
    <w:rsid w:val="00D10E1E"/>
    <w:rsid w:val="00D1116B"/>
    <w:rsid w:val="00D11BA0"/>
    <w:rsid w:val="00D12571"/>
    <w:rsid w:val="00D200BA"/>
    <w:rsid w:val="00D22970"/>
    <w:rsid w:val="00D22DD8"/>
    <w:rsid w:val="00D23A02"/>
    <w:rsid w:val="00D23E72"/>
    <w:rsid w:val="00D24068"/>
    <w:rsid w:val="00D245D5"/>
    <w:rsid w:val="00D2484D"/>
    <w:rsid w:val="00D24A75"/>
    <w:rsid w:val="00D257A3"/>
    <w:rsid w:val="00D26826"/>
    <w:rsid w:val="00D273FF"/>
    <w:rsid w:val="00D306D8"/>
    <w:rsid w:val="00D31F9E"/>
    <w:rsid w:val="00D34C8A"/>
    <w:rsid w:val="00D350EC"/>
    <w:rsid w:val="00D35D21"/>
    <w:rsid w:val="00D35D4A"/>
    <w:rsid w:val="00D368E3"/>
    <w:rsid w:val="00D36CDC"/>
    <w:rsid w:val="00D37720"/>
    <w:rsid w:val="00D40B55"/>
    <w:rsid w:val="00D40EE8"/>
    <w:rsid w:val="00D41432"/>
    <w:rsid w:val="00D414B6"/>
    <w:rsid w:val="00D41512"/>
    <w:rsid w:val="00D41842"/>
    <w:rsid w:val="00D41C5C"/>
    <w:rsid w:val="00D41F45"/>
    <w:rsid w:val="00D4285F"/>
    <w:rsid w:val="00D43593"/>
    <w:rsid w:val="00D435C2"/>
    <w:rsid w:val="00D43BD5"/>
    <w:rsid w:val="00D43E9F"/>
    <w:rsid w:val="00D44F60"/>
    <w:rsid w:val="00D4563A"/>
    <w:rsid w:val="00D457E0"/>
    <w:rsid w:val="00D45966"/>
    <w:rsid w:val="00D479C1"/>
    <w:rsid w:val="00D501C8"/>
    <w:rsid w:val="00D50591"/>
    <w:rsid w:val="00D51B6B"/>
    <w:rsid w:val="00D52F85"/>
    <w:rsid w:val="00D53441"/>
    <w:rsid w:val="00D53A3D"/>
    <w:rsid w:val="00D54770"/>
    <w:rsid w:val="00D55545"/>
    <w:rsid w:val="00D55769"/>
    <w:rsid w:val="00D56DA6"/>
    <w:rsid w:val="00D57010"/>
    <w:rsid w:val="00D5795B"/>
    <w:rsid w:val="00D609F8"/>
    <w:rsid w:val="00D60A99"/>
    <w:rsid w:val="00D61E0D"/>
    <w:rsid w:val="00D620F7"/>
    <w:rsid w:val="00D631E5"/>
    <w:rsid w:val="00D639B1"/>
    <w:rsid w:val="00D649B5"/>
    <w:rsid w:val="00D65146"/>
    <w:rsid w:val="00D662E5"/>
    <w:rsid w:val="00D66E4D"/>
    <w:rsid w:val="00D66F7F"/>
    <w:rsid w:val="00D671A2"/>
    <w:rsid w:val="00D70254"/>
    <w:rsid w:val="00D7138B"/>
    <w:rsid w:val="00D71F17"/>
    <w:rsid w:val="00D72559"/>
    <w:rsid w:val="00D80DB6"/>
    <w:rsid w:val="00D80EF7"/>
    <w:rsid w:val="00D8567B"/>
    <w:rsid w:val="00D8574D"/>
    <w:rsid w:val="00D85BA1"/>
    <w:rsid w:val="00D87ABB"/>
    <w:rsid w:val="00D91BC8"/>
    <w:rsid w:val="00D91E90"/>
    <w:rsid w:val="00D9439C"/>
    <w:rsid w:val="00D9468C"/>
    <w:rsid w:val="00D95892"/>
    <w:rsid w:val="00D95D4A"/>
    <w:rsid w:val="00D962D4"/>
    <w:rsid w:val="00D97285"/>
    <w:rsid w:val="00D9742E"/>
    <w:rsid w:val="00D9792B"/>
    <w:rsid w:val="00DA0B74"/>
    <w:rsid w:val="00DA1CCF"/>
    <w:rsid w:val="00DA3888"/>
    <w:rsid w:val="00DA4A4F"/>
    <w:rsid w:val="00DA5CB0"/>
    <w:rsid w:val="00DA6385"/>
    <w:rsid w:val="00DA6477"/>
    <w:rsid w:val="00DA7E99"/>
    <w:rsid w:val="00DB0E0D"/>
    <w:rsid w:val="00DB1322"/>
    <w:rsid w:val="00DB2D7B"/>
    <w:rsid w:val="00DB37E8"/>
    <w:rsid w:val="00DB432C"/>
    <w:rsid w:val="00DB6E68"/>
    <w:rsid w:val="00DB7D81"/>
    <w:rsid w:val="00DC0281"/>
    <w:rsid w:val="00DC0C3E"/>
    <w:rsid w:val="00DC2603"/>
    <w:rsid w:val="00DC2CD3"/>
    <w:rsid w:val="00DC4CD1"/>
    <w:rsid w:val="00DC5FB7"/>
    <w:rsid w:val="00DC615B"/>
    <w:rsid w:val="00DC6F82"/>
    <w:rsid w:val="00DC75F9"/>
    <w:rsid w:val="00DC7C99"/>
    <w:rsid w:val="00DD0CCB"/>
    <w:rsid w:val="00DD29B8"/>
    <w:rsid w:val="00DD2A0C"/>
    <w:rsid w:val="00DD3A1C"/>
    <w:rsid w:val="00DD5BDA"/>
    <w:rsid w:val="00DD638B"/>
    <w:rsid w:val="00DD678D"/>
    <w:rsid w:val="00DD7036"/>
    <w:rsid w:val="00DD736A"/>
    <w:rsid w:val="00DE1260"/>
    <w:rsid w:val="00DE1926"/>
    <w:rsid w:val="00DE2E43"/>
    <w:rsid w:val="00DE329C"/>
    <w:rsid w:val="00DE32C9"/>
    <w:rsid w:val="00DE4139"/>
    <w:rsid w:val="00DE4ECC"/>
    <w:rsid w:val="00DE62FB"/>
    <w:rsid w:val="00DE66E2"/>
    <w:rsid w:val="00DE6FDA"/>
    <w:rsid w:val="00DF2382"/>
    <w:rsid w:val="00DF287C"/>
    <w:rsid w:val="00DF3720"/>
    <w:rsid w:val="00DF3DDD"/>
    <w:rsid w:val="00DF4E27"/>
    <w:rsid w:val="00DF6D49"/>
    <w:rsid w:val="00DF6FFA"/>
    <w:rsid w:val="00DF71CD"/>
    <w:rsid w:val="00DF73AE"/>
    <w:rsid w:val="00DF75DE"/>
    <w:rsid w:val="00DF7C9C"/>
    <w:rsid w:val="00E02A2D"/>
    <w:rsid w:val="00E03224"/>
    <w:rsid w:val="00E04DD9"/>
    <w:rsid w:val="00E06060"/>
    <w:rsid w:val="00E06771"/>
    <w:rsid w:val="00E11682"/>
    <w:rsid w:val="00E123D3"/>
    <w:rsid w:val="00E12730"/>
    <w:rsid w:val="00E13BE1"/>
    <w:rsid w:val="00E14608"/>
    <w:rsid w:val="00E15457"/>
    <w:rsid w:val="00E159E3"/>
    <w:rsid w:val="00E179AC"/>
    <w:rsid w:val="00E203C7"/>
    <w:rsid w:val="00E208F6"/>
    <w:rsid w:val="00E20F8B"/>
    <w:rsid w:val="00E22BB2"/>
    <w:rsid w:val="00E22FEA"/>
    <w:rsid w:val="00E238F2"/>
    <w:rsid w:val="00E243B8"/>
    <w:rsid w:val="00E24A26"/>
    <w:rsid w:val="00E24AF9"/>
    <w:rsid w:val="00E24E31"/>
    <w:rsid w:val="00E2535A"/>
    <w:rsid w:val="00E25A3D"/>
    <w:rsid w:val="00E2602F"/>
    <w:rsid w:val="00E262A4"/>
    <w:rsid w:val="00E264B4"/>
    <w:rsid w:val="00E2790E"/>
    <w:rsid w:val="00E30069"/>
    <w:rsid w:val="00E31130"/>
    <w:rsid w:val="00E314BF"/>
    <w:rsid w:val="00E3231C"/>
    <w:rsid w:val="00E3433B"/>
    <w:rsid w:val="00E34ECA"/>
    <w:rsid w:val="00E36B58"/>
    <w:rsid w:val="00E40292"/>
    <w:rsid w:val="00E40487"/>
    <w:rsid w:val="00E40498"/>
    <w:rsid w:val="00E40738"/>
    <w:rsid w:val="00E40E80"/>
    <w:rsid w:val="00E41FC1"/>
    <w:rsid w:val="00E42D2A"/>
    <w:rsid w:val="00E43202"/>
    <w:rsid w:val="00E43D55"/>
    <w:rsid w:val="00E43E00"/>
    <w:rsid w:val="00E43E4D"/>
    <w:rsid w:val="00E44ABF"/>
    <w:rsid w:val="00E45E7C"/>
    <w:rsid w:val="00E46C4B"/>
    <w:rsid w:val="00E4782A"/>
    <w:rsid w:val="00E509C5"/>
    <w:rsid w:val="00E51083"/>
    <w:rsid w:val="00E53235"/>
    <w:rsid w:val="00E540E7"/>
    <w:rsid w:val="00E545E2"/>
    <w:rsid w:val="00E54B3B"/>
    <w:rsid w:val="00E54C46"/>
    <w:rsid w:val="00E54D2D"/>
    <w:rsid w:val="00E556FE"/>
    <w:rsid w:val="00E55769"/>
    <w:rsid w:val="00E566DF"/>
    <w:rsid w:val="00E56848"/>
    <w:rsid w:val="00E56A38"/>
    <w:rsid w:val="00E56F86"/>
    <w:rsid w:val="00E57302"/>
    <w:rsid w:val="00E57CBD"/>
    <w:rsid w:val="00E613D7"/>
    <w:rsid w:val="00E614B6"/>
    <w:rsid w:val="00E6183C"/>
    <w:rsid w:val="00E63AD9"/>
    <w:rsid w:val="00E64E51"/>
    <w:rsid w:val="00E6586A"/>
    <w:rsid w:val="00E65FD0"/>
    <w:rsid w:val="00E669D4"/>
    <w:rsid w:val="00E706FD"/>
    <w:rsid w:val="00E70967"/>
    <w:rsid w:val="00E70DA0"/>
    <w:rsid w:val="00E72B48"/>
    <w:rsid w:val="00E734EE"/>
    <w:rsid w:val="00E73608"/>
    <w:rsid w:val="00E74584"/>
    <w:rsid w:val="00E75401"/>
    <w:rsid w:val="00E7558E"/>
    <w:rsid w:val="00E7583B"/>
    <w:rsid w:val="00E75CBE"/>
    <w:rsid w:val="00E763DE"/>
    <w:rsid w:val="00E76A58"/>
    <w:rsid w:val="00E76D3A"/>
    <w:rsid w:val="00E76E79"/>
    <w:rsid w:val="00E77748"/>
    <w:rsid w:val="00E77EFD"/>
    <w:rsid w:val="00E834BF"/>
    <w:rsid w:val="00E84B7F"/>
    <w:rsid w:val="00E85A1E"/>
    <w:rsid w:val="00E868D4"/>
    <w:rsid w:val="00E86BE0"/>
    <w:rsid w:val="00E8713A"/>
    <w:rsid w:val="00E90FC5"/>
    <w:rsid w:val="00E915A4"/>
    <w:rsid w:val="00E91611"/>
    <w:rsid w:val="00E933BE"/>
    <w:rsid w:val="00E94902"/>
    <w:rsid w:val="00E9548E"/>
    <w:rsid w:val="00E96385"/>
    <w:rsid w:val="00E96498"/>
    <w:rsid w:val="00E964ED"/>
    <w:rsid w:val="00E97C9E"/>
    <w:rsid w:val="00EA08E6"/>
    <w:rsid w:val="00EA2C02"/>
    <w:rsid w:val="00EA4219"/>
    <w:rsid w:val="00EA548C"/>
    <w:rsid w:val="00EA5BB9"/>
    <w:rsid w:val="00EA62E6"/>
    <w:rsid w:val="00EA6EDA"/>
    <w:rsid w:val="00EA6FEE"/>
    <w:rsid w:val="00EB001C"/>
    <w:rsid w:val="00EB031A"/>
    <w:rsid w:val="00EB06A3"/>
    <w:rsid w:val="00EB09BB"/>
    <w:rsid w:val="00EB1A13"/>
    <w:rsid w:val="00EB20A2"/>
    <w:rsid w:val="00EB21AA"/>
    <w:rsid w:val="00EB2266"/>
    <w:rsid w:val="00EB29B8"/>
    <w:rsid w:val="00EB2BE3"/>
    <w:rsid w:val="00EB4350"/>
    <w:rsid w:val="00EB4ABC"/>
    <w:rsid w:val="00EB509C"/>
    <w:rsid w:val="00EB6E05"/>
    <w:rsid w:val="00EB6E66"/>
    <w:rsid w:val="00EB767A"/>
    <w:rsid w:val="00EB7E7F"/>
    <w:rsid w:val="00EC22C8"/>
    <w:rsid w:val="00EC3684"/>
    <w:rsid w:val="00EC4037"/>
    <w:rsid w:val="00EC532C"/>
    <w:rsid w:val="00ED046A"/>
    <w:rsid w:val="00ED067C"/>
    <w:rsid w:val="00ED166D"/>
    <w:rsid w:val="00ED278A"/>
    <w:rsid w:val="00ED4D23"/>
    <w:rsid w:val="00ED5219"/>
    <w:rsid w:val="00ED6538"/>
    <w:rsid w:val="00ED6BAF"/>
    <w:rsid w:val="00ED7C30"/>
    <w:rsid w:val="00EE12E0"/>
    <w:rsid w:val="00EE279E"/>
    <w:rsid w:val="00EE39F1"/>
    <w:rsid w:val="00EE41A5"/>
    <w:rsid w:val="00EE446B"/>
    <w:rsid w:val="00EE4B87"/>
    <w:rsid w:val="00EE61B3"/>
    <w:rsid w:val="00EF25AD"/>
    <w:rsid w:val="00EF30B1"/>
    <w:rsid w:val="00EF5175"/>
    <w:rsid w:val="00EF642C"/>
    <w:rsid w:val="00EF67CC"/>
    <w:rsid w:val="00EF6978"/>
    <w:rsid w:val="00EF6E2B"/>
    <w:rsid w:val="00EF6EE6"/>
    <w:rsid w:val="00EF731D"/>
    <w:rsid w:val="00F00A14"/>
    <w:rsid w:val="00F01282"/>
    <w:rsid w:val="00F02034"/>
    <w:rsid w:val="00F03095"/>
    <w:rsid w:val="00F0367F"/>
    <w:rsid w:val="00F03C95"/>
    <w:rsid w:val="00F061B0"/>
    <w:rsid w:val="00F0637B"/>
    <w:rsid w:val="00F075C6"/>
    <w:rsid w:val="00F10567"/>
    <w:rsid w:val="00F10D47"/>
    <w:rsid w:val="00F1257C"/>
    <w:rsid w:val="00F12A06"/>
    <w:rsid w:val="00F1305E"/>
    <w:rsid w:val="00F132BD"/>
    <w:rsid w:val="00F13768"/>
    <w:rsid w:val="00F142B5"/>
    <w:rsid w:val="00F14BFD"/>
    <w:rsid w:val="00F15194"/>
    <w:rsid w:val="00F15F0D"/>
    <w:rsid w:val="00F16512"/>
    <w:rsid w:val="00F1695C"/>
    <w:rsid w:val="00F204A4"/>
    <w:rsid w:val="00F20A14"/>
    <w:rsid w:val="00F21A17"/>
    <w:rsid w:val="00F22A5E"/>
    <w:rsid w:val="00F230A3"/>
    <w:rsid w:val="00F23591"/>
    <w:rsid w:val="00F25458"/>
    <w:rsid w:val="00F260BB"/>
    <w:rsid w:val="00F26B9E"/>
    <w:rsid w:val="00F27068"/>
    <w:rsid w:val="00F27A6C"/>
    <w:rsid w:val="00F27B46"/>
    <w:rsid w:val="00F31872"/>
    <w:rsid w:val="00F33CC0"/>
    <w:rsid w:val="00F34FC7"/>
    <w:rsid w:val="00F3521B"/>
    <w:rsid w:val="00F35AEF"/>
    <w:rsid w:val="00F362E2"/>
    <w:rsid w:val="00F36911"/>
    <w:rsid w:val="00F36ED0"/>
    <w:rsid w:val="00F42824"/>
    <w:rsid w:val="00F42977"/>
    <w:rsid w:val="00F42E18"/>
    <w:rsid w:val="00F433C0"/>
    <w:rsid w:val="00F43FD6"/>
    <w:rsid w:val="00F44ADF"/>
    <w:rsid w:val="00F44BDB"/>
    <w:rsid w:val="00F45521"/>
    <w:rsid w:val="00F45C9E"/>
    <w:rsid w:val="00F45EF9"/>
    <w:rsid w:val="00F465A1"/>
    <w:rsid w:val="00F46EB6"/>
    <w:rsid w:val="00F47C68"/>
    <w:rsid w:val="00F50144"/>
    <w:rsid w:val="00F50C38"/>
    <w:rsid w:val="00F50DDB"/>
    <w:rsid w:val="00F50E54"/>
    <w:rsid w:val="00F51D02"/>
    <w:rsid w:val="00F51F35"/>
    <w:rsid w:val="00F524D7"/>
    <w:rsid w:val="00F52BC2"/>
    <w:rsid w:val="00F53339"/>
    <w:rsid w:val="00F534EE"/>
    <w:rsid w:val="00F53EB7"/>
    <w:rsid w:val="00F545C5"/>
    <w:rsid w:val="00F5504F"/>
    <w:rsid w:val="00F55DD3"/>
    <w:rsid w:val="00F55F1F"/>
    <w:rsid w:val="00F564AA"/>
    <w:rsid w:val="00F5683A"/>
    <w:rsid w:val="00F56E6C"/>
    <w:rsid w:val="00F572AD"/>
    <w:rsid w:val="00F57581"/>
    <w:rsid w:val="00F5780E"/>
    <w:rsid w:val="00F60263"/>
    <w:rsid w:val="00F615CA"/>
    <w:rsid w:val="00F62586"/>
    <w:rsid w:val="00F62D0F"/>
    <w:rsid w:val="00F65FB4"/>
    <w:rsid w:val="00F666BB"/>
    <w:rsid w:val="00F6746D"/>
    <w:rsid w:val="00F67502"/>
    <w:rsid w:val="00F67CA8"/>
    <w:rsid w:val="00F704D2"/>
    <w:rsid w:val="00F709D8"/>
    <w:rsid w:val="00F70C73"/>
    <w:rsid w:val="00F70E01"/>
    <w:rsid w:val="00F7121B"/>
    <w:rsid w:val="00F71723"/>
    <w:rsid w:val="00F717B1"/>
    <w:rsid w:val="00F720C2"/>
    <w:rsid w:val="00F72838"/>
    <w:rsid w:val="00F72BC2"/>
    <w:rsid w:val="00F72FEA"/>
    <w:rsid w:val="00F74333"/>
    <w:rsid w:val="00F7445D"/>
    <w:rsid w:val="00F75C8C"/>
    <w:rsid w:val="00F779C4"/>
    <w:rsid w:val="00F81232"/>
    <w:rsid w:val="00F81F7C"/>
    <w:rsid w:val="00F82CFB"/>
    <w:rsid w:val="00F8406F"/>
    <w:rsid w:val="00F8433C"/>
    <w:rsid w:val="00F847E2"/>
    <w:rsid w:val="00F85752"/>
    <w:rsid w:val="00F85912"/>
    <w:rsid w:val="00F85D70"/>
    <w:rsid w:val="00F87346"/>
    <w:rsid w:val="00F9070D"/>
    <w:rsid w:val="00F92CE6"/>
    <w:rsid w:val="00F9383B"/>
    <w:rsid w:val="00F94A57"/>
    <w:rsid w:val="00F95753"/>
    <w:rsid w:val="00FA0024"/>
    <w:rsid w:val="00FA08F5"/>
    <w:rsid w:val="00FA12CC"/>
    <w:rsid w:val="00FA14C7"/>
    <w:rsid w:val="00FA2C6B"/>
    <w:rsid w:val="00FA445C"/>
    <w:rsid w:val="00FA4ABB"/>
    <w:rsid w:val="00FA7C4F"/>
    <w:rsid w:val="00FB2AF3"/>
    <w:rsid w:val="00FB3421"/>
    <w:rsid w:val="00FB421B"/>
    <w:rsid w:val="00FB6F7D"/>
    <w:rsid w:val="00FC0144"/>
    <w:rsid w:val="00FC10FA"/>
    <w:rsid w:val="00FC1266"/>
    <w:rsid w:val="00FC1A64"/>
    <w:rsid w:val="00FC1C78"/>
    <w:rsid w:val="00FC1E98"/>
    <w:rsid w:val="00FC1FB3"/>
    <w:rsid w:val="00FC3348"/>
    <w:rsid w:val="00FC35F0"/>
    <w:rsid w:val="00FC3A55"/>
    <w:rsid w:val="00FC47CB"/>
    <w:rsid w:val="00FD08F5"/>
    <w:rsid w:val="00FD136A"/>
    <w:rsid w:val="00FD140B"/>
    <w:rsid w:val="00FD1E76"/>
    <w:rsid w:val="00FD1F60"/>
    <w:rsid w:val="00FD38D3"/>
    <w:rsid w:val="00FD4254"/>
    <w:rsid w:val="00FD43A1"/>
    <w:rsid w:val="00FD56F4"/>
    <w:rsid w:val="00FD5AF2"/>
    <w:rsid w:val="00FE0BA8"/>
    <w:rsid w:val="00FE1589"/>
    <w:rsid w:val="00FE1620"/>
    <w:rsid w:val="00FE1BDF"/>
    <w:rsid w:val="00FE21FF"/>
    <w:rsid w:val="00FE22B2"/>
    <w:rsid w:val="00FE3E52"/>
    <w:rsid w:val="00FE4CD8"/>
    <w:rsid w:val="00FE595F"/>
    <w:rsid w:val="00FE60BF"/>
    <w:rsid w:val="00FE663B"/>
    <w:rsid w:val="00FE7105"/>
    <w:rsid w:val="00FE7317"/>
    <w:rsid w:val="00FF03F2"/>
    <w:rsid w:val="00FF0DE8"/>
    <w:rsid w:val="00FF28BB"/>
    <w:rsid w:val="00FF5D41"/>
    <w:rsid w:val="00FF617B"/>
    <w:rsid w:val="00FF6184"/>
    <w:rsid w:val="00FF6C61"/>
    <w:rsid w:val="00FF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439F"/>
  <w15:chartTrackingRefBased/>
  <w15:docId w15:val="{4D7AB602-0124-4839-B9AE-07182672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C0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
    <w:basedOn w:val="a"/>
    <w:link w:val="a4"/>
    <w:uiPriority w:val="34"/>
    <w:qFormat/>
    <w:rsid w:val="00000066"/>
    <w:pPr>
      <w:ind w:left="720"/>
      <w:contextualSpacing/>
    </w:pPr>
  </w:style>
  <w:style w:type="paragraph" w:styleId="a5">
    <w:name w:val="footnote text"/>
    <w:basedOn w:val="a"/>
    <w:link w:val="a6"/>
    <w:uiPriority w:val="99"/>
    <w:semiHidden/>
    <w:unhideWhenUsed/>
    <w:rsid w:val="008E511E"/>
    <w:pPr>
      <w:spacing w:after="0" w:line="240" w:lineRule="auto"/>
    </w:pPr>
    <w:rPr>
      <w:sz w:val="20"/>
      <w:szCs w:val="20"/>
    </w:rPr>
  </w:style>
  <w:style w:type="character" w:customStyle="1" w:styleId="a6">
    <w:name w:val="Текст виноски Знак"/>
    <w:basedOn w:val="a0"/>
    <w:link w:val="a5"/>
    <w:uiPriority w:val="99"/>
    <w:semiHidden/>
    <w:rsid w:val="008E511E"/>
    <w:rPr>
      <w:sz w:val="20"/>
      <w:szCs w:val="20"/>
      <w:lang w:val="uk-UA"/>
    </w:rPr>
  </w:style>
  <w:style w:type="character" w:styleId="a7">
    <w:name w:val="footnote reference"/>
    <w:basedOn w:val="a0"/>
    <w:uiPriority w:val="99"/>
    <w:semiHidden/>
    <w:unhideWhenUsed/>
    <w:rsid w:val="008E511E"/>
    <w:rPr>
      <w:vertAlign w:val="superscript"/>
    </w:rPr>
  </w:style>
  <w:style w:type="paragraph" w:customStyle="1" w:styleId="rvps2">
    <w:name w:val="rvps2"/>
    <w:basedOn w:val="a"/>
    <w:rsid w:val="008E51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8E511E"/>
    <w:rPr>
      <w:color w:val="0000FF"/>
      <w:u w:val="single"/>
    </w:rPr>
  </w:style>
  <w:style w:type="character" w:styleId="a9">
    <w:name w:val="annotation reference"/>
    <w:basedOn w:val="a0"/>
    <w:uiPriority w:val="99"/>
    <w:unhideWhenUsed/>
    <w:rsid w:val="00B57B9B"/>
    <w:rPr>
      <w:sz w:val="16"/>
      <w:szCs w:val="16"/>
    </w:rPr>
  </w:style>
  <w:style w:type="paragraph" w:styleId="aa">
    <w:name w:val="annotation text"/>
    <w:basedOn w:val="a"/>
    <w:link w:val="ab"/>
    <w:uiPriority w:val="99"/>
    <w:unhideWhenUsed/>
    <w:rsid w:val="00B57B9B"/>
    <w:pPr>
      <w:spacing w:line="240" w:lineRule="auto"/>
    </w:pPr>
    <w:rPr>
      <w:sz w:val="20"/>
      <w:szCs w:val="20"/>
    </w:rPr>
  </w:style>
  <w:style w:type="character" w:customStyle="1" w:styleId="ab">
    <w:name w:val="Текст примітки Знак"/>
    <w:basedOn w:val="a0"/>
    <w:link w:val="aa"/>
    <w:uiPriority w:val="99"/>
    <w:rsid w:val="00B57B9B"/>
    <w:rPr>
      <w:sz w:val="20"/>
      <w:szCs w:val="20"/>
      <w:lang w:val="uk-UA"/>
    </w:rPr>
  </w:style>
  <w:style w:type="paragraph" w:styleId="ac">
    <w:name w:val="annotation subject"/>
    <w:basedOn w:val="aa"/>
    <w:next w:val="aa"/>
    <w:link w:val="ad"/>
    <w:uiPriority w:val="99"/>
    <w:semiHidden/>
    <w:unhideWhenUsed/>
    <w:rsid w:val="00B57B9B"/>
    <w:rPr>
      <w:b/>
      <w:bCs/>
    </w:rPr>
  </w:style>
  <w:style w:type="character" w:customStyle="1" w:styleId="ad">
    <w:name w:val="Тема примітки Знак"/>
    <w:basedOn w:val="ab"/>
    <w:link w:val="ac"/>
    <w:uiPriority w:val="99"/>
    <w:semiHidden/>
    <w:rsid w:val="00B57B9B"/>
    <w:rPr>
      <w:b/>
      <w:bCs/>
      <w:sz w:val="20"/>
      <w:szCs w:val="20"/>
      <w:lang w:val="uk-UA"/>
    </w:rPr>
  </w:style>
  <w:style w:type="paragraph" w:styleId="ae">
    <w:name w:val="Revision"/>
    <w:hidden/>
    <w:uiPriority w:val="99"/>
    <w:semiHidden/>
    <w:rsid w:val="00B57B9B"/>
    <w:pPr>
      <w:spacing w:after="0" w:line="240" w:lineRule="auto"/>
    </w:pPr>
    <w:rPr>
      <w:lang w:val="uk-UA"/>
    </w:rPr>
  </w:style>
  <w:style w:type="paragraph" w:styleId="af">
    <w:name w:val="Balloon Text"/>
    <w:basedOn w:val="a"/>
    <w:link w:val="af0"/>
    <w:uiPriority w:val="99"/>
    <w:semiHidden/>
    <w:unhideWhenUsed/>
    <w:rsid w:val="00B57B9B"/>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B57B9B"/>
    <w:rPr>
      <w:rFonts w:ascii="Segoe UI" w:hAnsi="Segoe UI" w:cs="Segoe UI"/>
      <w:sz w:val="18"/>
      <w:szCs w:val="18"/>
      <w:lang w:val="uk-UA"/>
    </w:rPr>
  </w:style>
  <w:style w:type="paragraph" w:styleId="af1">
    <w:name w:val="Normal (Web)"/>
    <w:basedOn w:val="a"/>
    <w:link w:val="af2"/>
    <w:uiPriority w:val="99"/>
    <w:unhideWhenUsed/>
    <w:rsid w:val="007D0E54"/>
    <w:pPr>
      <w:spacing w:before="100" w:beforeAutospacing="1" w:after="100" w:afterAutospacing="1" w:line="240" w:lineRule="auto"/>
    </w:pPr>
    <w:rPr>
      <w:rFonts w:ascii="Times New Roman" w:eastAsiaTheme="minorEastAsia" w:hAnsi="Times New Roman" w:cs="Times New Roman"/>
      <w:sz w:val="24"/>
      <w:szCs w:val="24"/>
      <w:lang w:eastAsia="uk-UA"/>
    </w:rPr>
  </w:style>
  <w:style w:type="table" w:styleId="af3">
    <w:name w:val="Table Grid"/>
    <w:basedOn w:val="a1"/>
    <w:uiPriority w:val="39"/>
    <w:rsid w:val="007D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Звичайний (веб) Знак"/>
    <w:link w:val="af1"/>
    <w:uiPriority w:val="99"/>
    <w:locked/>
    <w:rsid w:val="002D0DA4"/>
    <w:rPr>
      <w:rFonts w:ascii="Times New Roman" w:eastAsiaTheme="minorEastAsia" w:hAnsi="Times New Roman" w:cs="Times New Roman"/>
      <w:sz w:val="24"/>
      <w:szCs w:val="24"/>
      <w:lang w:val="uk-UA" w:eastAsia="uk-UA"/>
    </w:rPr>
  </w:style>
  <w:style w:type="character" w:customStyle="1" w:styleId="a4">
    <w:name w:val="Абзац списку Знак"/>
    <w:aliases w:val="Normal bullet 2 Знак"/>
    <w:link w:val="a3"/>
    <w:uiPriority w:val="34"/>
    <w:locked/>
    <w:rsid w:val="00F42824"/>
    <w:rPr>
      <w:lang w:val="uk-UA"/>
    </w:rPr>
  </w:style>
  <w:style w:type="paragraph" w:styleId="af4">
    <w:name w:val="header"/>
    <w:basedOn w:val="a"/>
    <w:link w:val="af5"/>
    <w:uiPriority w:val="99"/>
    <w:rsid w:val="00923C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customStyle="1" w:styleId="af5">
    <w:name w:val="Верхній колонтитул Знак"/>
    <w:basedOn w:val="a0"/>
    <w:link w:val="af4"/>
    <w:uiPriority w:val="99"/>
    <w:rsid w:val="00923C28"/>
    <w:rPr>
      <w:rFonts w:ascii="Times New Roman" w:eastAsia="Times New Roman" w:hAnsi="Times New Roman" w:cs="Times New Roman"/>
      <w:sz w:val="20"/>
      <w:szCs w:val="20"/>
      <w:lang w:val="uk-UA" w:eastAsia="uk-UA"/>
    </w:rPr>
  </w:style>
  <w:style w:type="character" w:styleId="af6">
    <w:name w:val="Subtle Reference"/>
    <w:basedOn w:val="a0"/>
    <w:uiPriority w:val="31"/>
    <w:qFormat/>
    <w:rsid w:val="009A3558"/>
    <w:rPr>
      <w:smallCaps/>
      <w:color w:val="5A5A5A" w:themeColor="text1" w:themeTint="A5"/>
    </w:rPr>
  </w:style>
  <w:style w:type="paragraph" w:customStyle="1" w:styleId="tj">
    <w:name w:val="tj"/>
    <w:basedOn w:val="a"/>
    <w:rsid w:val="00021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E73608"/>
    <w:rPr>
      <w:color w:val="000000"/>
    </w:rPr>
  </w:style>
  <w:style w:type="paragraph" w:styleId="af7">
    <w:name w:val="footer"/>
    <w:basedOn w:val="a"/>
    <w:link w:val="af8"/>
    <w:uiPriority w:val="99"/>
    <w:unhideWhenUsed/>
    <w:rsid w:val="005C3EB4"/>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5C3EB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7730">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sChild>
        <w:div w:id="90396077">
          <w:marLeft w:val="0"/>
          <w:marRight w:val="0"/>
          <w:marTop w:val="0"/>
          <w:marBottom w:val="0"/>
          <w:divBdr>
            <w:top w:val="none" w:sz="0" w:space="0" w:color="auto"/>
            <w:left w:val="none" w:sz="0" w:space="0" w:color="auto"/>
            <w:bottom w:val="none" w:sz="0" w:space="0" w:color="auto"/>
            <w:right w:val="none" w:sz="0" w:space="0" w:color="auto"/>
          </w:divBdr>
        </w:div>
        <w:div w:id="1686590784">
          <w:marLeft w:val="0"/>
          <w:marRight w:val="0"/>
          <w:marTop w:val="0"/>
          <w:marBottom w:val="0"/>
          <w:divBdr>
            <w:top w:val="none" w:sz="0" w:space="0" w:color="auto"/>
            <w:left w:val="none" w:sz="0" w:space="0" w:color="auto"/>
            <w:bottom w:val="none" w:sz="0" w:space="0" w:color="auto"/>
            <w:right w:val="none" w:sz="0" w:space="0" w:color="auto"/>
          </w:divBdr>
        </w:div>
        <w:div w:id="281963908">
          <w:marLeft w:val="0"/>
          <w:marRight w:val="0"/>
          <w:marTop w:val="0"/>
          <w:marBottom w:val="0"/>
          <w:divBdr>
            <w:top w:val="none" w:sz="0" w:space="0" w:color="auto"/>
            <w:left w:val="none" w:sz="0" w:space="0" w:color="auto"/>
            <w:bottom w:val="none" w:sz="0" w:space="0" w:color="auto"/>
            <w:right w:val="none" w:sz="0" w:space="0" w:color="auto"/>
          </w:divBdr>
        </w:div>
        <w:div w:id="284237899">
          <w:marLeft w:val="0"/>
          <w:marRight w:val="0"/>
          <w:marTop w:val="0"/>
          <w:marBottom w:val="0"/>
          <w:divBdr>
            <w:top w:val="none" w:sz="0" w:space="0" w:color="auto"/>
            <w:left w:val="none" w:sz="0" w:space="0" w:color="auto"/>
            <w:bottom w:val="none" w:sz="0" w:space="0" w:color="auto"/>
            <w:right w:val="none" w:sz="0" w:space="0" w:color="auto"/>
          </w:divBdr>
        </w:div>
        <w:div w:id="1752433926">
          <w:marLeft w:val="0"/>
          <w:marRight w:val="0"/>
          <w:marTop w:val="0"/>
          <w:marBottom w:val="0"/>
          <w:divBdr>
            <w:top w:val="none" w:sz="0" w:space="0" w:color="auto"/>
            <w:left w:val="none" w:sz="0" w:space="0" w:color="auto"/>
            <w:bottom w:val="none" w:sz="0" w:space="0" w:color="auto"/>
            <w:right w:val="none" w:sz="0" w:space="0" w:color="auto"/>
          </w:divBdr>
        </w:div>
        <w:div w:id="1059747977">
          <w:marLeft w:val="0"/>
          <w:marRight w:val="0"/>
          <w:marTop w:val="0"/>
          <w:marBottom w:val="0"/>
          <w:divBdr>
            <w:top w:val="none" w:sz="0" w:space="0" w:color="auto"/>
            <w:left w:val="none" w:sz="0" w:space="0" w:color="auto"/>
            <w:bottom w:val="none" w:sz="0" w:space="0" w:color="auto"/>
            <w:right w:val="none" w:sz="0" w:space="0" w:color="auto"/>
          </w:divBdr>
        </w:div>
        <w:div w:id="952178106">
          <w:marLeft w:val="0"/>
          <w:marRight w:val="0"/>
          <w:marTop w:val="0"/>
          <w:marBottom w:val="0"/>
          <w:divBdr>
            <w:top w:val="none" w:sz="0" w:space="0" w:color="auto"/>
            <w:left w:val="none" w:sz="0" w:space="0" w:color="auto"/>
            <w:bottom w:val="none" w:sz="0" w:space="0" w:color="auto"/>
            <w:right w:val="none" w:sz="0" w:space="0" w:color="auto"/>
          </w:divBdr>
        </w:div>
        <w:div w:id="357317200">
          <w:marLeft w:val="0"/>
          <w:marRight w:val="0"/>
          <w:marTop w:val="0"/>
          <w:marBottom w:val="0"/>
          <w:divBdr>
            <w:top w:val="none" w:sz="0" w:space="0" w:color="auto"/>
            <w:left w:val="none" w:sz="0" w:space="0" w:color="auto"/>
            <w:bottom w:val="none" w:sz="0" w:space="0" w:color="auto"/>
            <w:right w:val="none" w:sz="0" w:space="0" w:color="auto"/>
          </w:divBdr>
        </w:div>
      </w:divsChild>
    </w:div>
    <w:div w:id="868253443">
      <w:bodyDiv w:val="1"/>
      <w:marLeft w:val="0"/>
      <w:marRight w:val="0"/>
      <w:marTop w:val="0"/>
      <w:marBottom w:val="0"/>
      <w:divBdr>
        <w:top w:val="none" w:sz="0" w:space="0" w:color="auto"/>
        <w:left w:val="none" w:sz="0" w:space="0" w:color="auto"/>
        <w:bottom w:val="none" w:sz="0" w:space="0" w:color="auto"/>
        <w:right w:val="none" w:sz="0" w:space="0" w:color="auto"/>
      </w:divBdr>
      <w:divsChild>
        <w:div w:id="879633120">
          <w:marLeft w:val="0"/>
          <w:marRight w:val="0"/>
          <w:marTop w:val="0"/>
          <w:marBottom w:val="0"/>
          <w:divBdr>
            <w:top w:val="none" w:sz="0" w:space="0" w:color="auto"/>
            <w:left w:val="none" w:sz="0" w:space="0" w:color="auto"/>
            <w:bottom w:val="none" w:sz="0" w:space="0" w:color="auto"/>
            <w:right w:val="none" w:sz="0" w:space="0" w:color="auto"/>
          </w:divBdr>
        </w:div>
        <w:div w:id="159588601">
          <w:marLeft w:val="0"/>
          <w:marRight w:val="0"/>
          <w:marTop w:val="0"/>
          <w:marBottom w:val="0"/>
          <w:divBdr>
            <w:top w:val="none" w:sz="0" w:space="0" w:color="auto"/>
            <w:left w:val="none" w:sz="0" w:space="0" w:color="auto"/>
            <w:bottom w:val="none" w:sz="0" w:space="0" w:color="auto"/>
            <w:right w:val="none" w:sz="0" w:space="0" w:color="auto"/>
          </w:divBdr>
        </w:div>
        <w:div w:id="139615503">
          <w:marLeft w:val="0"/>
          <w:marRight w:val="0"/>
          <w:marTop w:val="0"/>
          <w:marBottom w:val="0"/>
          <w:divBdr>
            <w:top w:val="none" w:sz="0" w:space="0" w:color="auto"/>
            <w:left w:val="none" w:sz="0" w:space="0" w:color="auto"/>
            <w:bottom w:val="none" w:sz="0" w:space="0" w:color="auto"/>
            <w:right w:val="none" w:sz="0" w:space="0" w:color="auto"/>
          </w:divBdr>
        </w:div>
        <w:div w:id="785655103">
          <w:marLeft w:val="0"/>
          <w:marRight w:val="0"/>
          <w:marTop w:val="0"/>
          <w:marBottom w:val="0"/>
          <w:divBdr>
            <w:top w:val="none" w:sz="0" w:space="0" w:color="auto"/>
            <w:left w:val="none" w:sz="0" w:space="0" w:color="auto"/>
            <w:bottom w:val="none" w:sz="0" w:space="0" w:color="auto"/>
            <w:right w:val="none" w:sz="0" w:space="0" w:color="auto"/>
          </w:divBdr>
        </w:div>
        <w:div w:id="1641418687">
          <w:marLeft w:val="0"/>
          <w:marRight w:val="0"/>
          <w:marTop w:val="0"/>
          <w:marBottom w:val="0"/>
          <w:divBdr>
            <w:top w:val="none" w:sz="0" w:space="0" w:color="auto"/>
            <w:left w:val="none" w:sz="0" w:space="0" w:color="auto"/>
            <w:bottom w:val="none" w:sz="0" w:space="0" w:color="auto"/>
            <w:right w:val="none" w:sz="0" w:space="0" w:color="auto"/>
          </w:divBdr>
        </w:div>
        <w:div w:id="350961532">
          <w:marLeft w:val="0"/>
          <w:marRight w:val="0"/>
          <w:marTop w:val="0"/>
          <w:marBottom w:val="0"/>
          <w:divBdr>
            <w:top w:val="none" w:sz="0" w:space="0" w:color="auto"/>
            <w:left w:val="none" w:sz="0" w:space="0" w:color="auto"/>
            <w:bottom w:val="none" w:sz="0" w:space="0" w:color="auto"/>
            <w:right w:val="none" w:sz="0" w:space="0" w:color="auto"/>
          </w:divBdr>
        </w:div>
        <w:div w:id="377050325">
          <w:marLeft w:val="0"/>
          <w:marRight w:val="0"/>
          <w:marTop w:val="0"/>
          <w:marBottom w:val="0"/>
          <w:divBdr>
            <w:top w:val="none" w:sz="0" w:space="0" w:color="auto"/>
            <w:left w:val="none" w:sz="0" w:space="0" w:color="auto"/>
            <w:bottom w:val="none" w:sz="0" w:space="0" w:color="auto"/>
            <w:right w:val="none" w:sz="0" w:space="0" w:color="auto"/>
          </w:divBdr>
        </w:div>
        <w:div w:id="297953298">
          <w:marLeft w:val="0"/>
          <w:marRight w:val="0"/>
          <w:marTop w:val="0"/>
          <w:marBottom w:val="0"/>
          <w:divBdr>
            <w:top w:val="none" w:sz="0" w:space="0" w:color="auto"/>
            <w:left w:val="none" w:sz="0" w:space="0" w:color="auto"/>
            <w:bottom w:val="none" w:sz="0" w:space="0" w:color="auto"/>
            <w:right w:val="none" w:sz="0" w:space="0" w:color="auto"/>
          </w:divBdr>
        </w:div>
      </w:divsChild>
    </w:div>
    <w:div w:id="1183781341">
      <w:bodyDiv w:val="1"/>
      <w:marLeft w:val="0"/>
      <w:marRight w:val="0"/>
      <w:marTop w:val="0"/>
      <w:marBottom w:val="0"/>
      <w:divBdr>
        <w:top w:val="none" w:sz="0" w:space="0" w:color="auto"/>
        <w:left w:val="none" w:sz="0" w:space="0" w:color="auto"/>
        <w:bottom w:val="none" w:sz="0" w:space="0" w:color="auto"/>
        <w:right w:val="none" w:sz="0" w:space="0" w:color="auto"/>
      </w:divBdr>
    </w:div>
    <w:div w:id="1257709998">
      <w:bodyDiv w:val="1"/>
      <w:marLeft w:val="0"/>
      <w:marRight w:val="0"/>
      <w:marTop w:val="0"/>
      <w:marBottom w:val="0"/>
      <w:divBdr>
        <w:top w:val="none" w:sz="0" w:space="0" w:color="auto"/>
        <w:left w:val="none" w:sz="0" w:space="0" w:color="auto"/>
        <w:bottom w:val="none" w:sz="0" w:space="0" w:color="auto"/>
        <w:right w:val="none" w:sz="0" w:space="0" w:color="auto"/>
      </w:divBdr>
    </w:div>
    <w:div w:id="1286543899">
      <w:bodyDiv w:val="1"/>
      <w:marLeft w:val="0"/>
      <w:marRight w:val="0"/>
      <w:marTop w:val="0"/>
      <w:marBottom w:val="0"/>
      <w:divBdr>
        <w:top w:val="none" w:sz="0" w:space="0" w:color="auto"/>
        <w:left w:val="none" w:sz="0" w:space="0" w:color="auto"/>
        <w:bottom w:val="none" w:sz="0" w:space="0" w:color="auto"/>
        <w:right w:val="none" w:sz="0" w:space="0" w:color="auto"/>
      </w:divBdr>
    </w:div>
    <w:div w:id="1441486514">
      <w:bodyDiv w:val="1"/>
      <w:marLeft w:val="0"/>
      <w:marRight w:val="0"/>
      <w:marTop w:val="0"/>
      <w:marBottom w:val="0"/>
      <w:divBdr>
        <w:top w:val="none" w:sz="0" w:space="0" w:color="auto"/>
        <w:left w:val="none" w:sz="0" w:space="0" w:color="auto"/>
        <w:bottom w:val="none" w:sz="0" w:space="0" w:color="auto"/>
        <w:right w:val="none" w:sz="0" w:space="0" w:color="auto"/>
      </w:divBdr>
    </w:div>
    <w:div w:id="20270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E40B-39A8-463E-B92F-7585A7B7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20758</Words>
  <Characters>11833</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Лиходовский Руслан</dc:creator>
  <cp:keywords/>
  <dc:description/>
  <cp:lastModifiedBy>Пісоцька Оксана Миколаївна</cp:lastModifiedBy>
  <cp:revision>2</cp:revision>
  <cp:lastPrinted>2024-10-28T12:43:00Z</cp:lastPrinted>
  <dcterms:created xsi:type="dcterms:W3CDTF">2026-02-09T07:04:00Z</dcterms:created>
  <dcterms:modified xsi:type="dcterms:W3CDTF">2026-02-09T07:04:00Z</dcterms:modified>
</cp:coreProperties>
</file>