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16138D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організацію процесу управління проблемними активами в банках України, затвердженого постановою Правління Національного банку України від 18.07.2019 № 97 (зі змінами),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Правил роботи банків у зв’язку з введенням в Україні воєнного стану, затверджених постановою Правління Національного банку України від 25.02.2022 № 23 (зі змінами)</w:t>
      </w:r>
      <w:r w:rsid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реструктуризованих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Належність контрагентів до пов'язаних з банком осіб визначається згідно зі статтею 52 Закону України 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банки і банківську діяльність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</w:tabs>
        <w:spacing w:after="0" w:line="240" w:lineRule="auto"/>
        <w:ind w:left="0" w:firstLineChars="15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spacing w:after="0"/>
        <w:ind w:firstLineChars="202" w:firstLine="566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договори як з фізичною особою, так і з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25DEF">
        <w:rPr>
          <w:rFonts w:ascii="Times New Roman" w:hAnsi="Times New Roman" w:cs="Times New Roman"/>
          <w:sz w:val="28"/>
          <w:szCs w:val="28"/>
        </w:rPr>
        <w:t>10. У разі, якщо всі показники, передача яких вимагається цими Правилами, дорівнюють нулю, подається інформація у вигляді нульового файла, сформованого відповідно до Інструкції щодо формування нульового файла.</w:t>
      </w:r>
    </w:p>
    <w:p w:rsidR="00A30622" w:rsidRDefault="00A30622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30622" w:rsidRPr="00A30622" w:rsidRDefault="00A30622" w:rsidP="00A30622">
      <w:pPr>
        <w:spacing w:after="0"/>
        <w:ind w:left="177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A30622">
        <w:rPr>
          <w:rFonts w:ascii="Times New Roman" w:hAnsi="Times New Roman" w:cs="Times New Roman"/>
          <w:sz w:val="28"/>
          <w:szCs w:val="28"/>
        </w:rPr>
        <w:t xml:space="preserve">. </w:t>
      </w:r>
      <w:r w:rsidRPr="00A30622">
        <w:rPr>
          <w:rFonts w:ascii="Times New Roman" w:hAnsi="Times New Roman" w:cs="Times New Roman"/>
          <w:sz w:val="28"/>
          <w:szCs w:val="28"/>
        </w:rPr>
        <w:t xml:space="preserve">Дебетові залишки за балансовими рахунками, які використовуються для формування показників A7I001- </w:t>
      </w:r>
      <w:bookmarkStart w:id="0" w:name="_GoBack"/>
      <w:bookmarkEnd w:id="0"/>
      <w:r w:rsidRPr="00A30622">
        <w:rPr>
          <w:rFonts w:ascii="Times New Roman" w:hAnsi="Times New Roman" w:cs="Times New Roman"/>
          <w:sz w:val="28"/>
          <w:szCs w:val="28"/>
        </w:rPr>
        <w:t>A7I006, подаються як додатні значення.</w:t>
      </w:r>
    </w:p>
    <w:p w:rsidR="00A30622" w:rsidRDefault="00A30622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622">
        <w:rPr>
          <w:rFonts w:ascii="Times New Roman" w:hAnsi="Times New Roman" w:cs="Times New Roman"/>
          <w:sz w:val="28"/>
          <w:szCs w:val="28"/>
        </w:rPr>
        <w:t xml:space="preserve">        Кредитові залишки за балансовими рахунками, які використовуються для формування показників A7I001- A7I006, подаються як від’ємні значення.</w:t>
      </w:r>
    </w:p>
    <w:p w:rsidR="00A30622" w:rsidRPr="00A30622" w:rsidRDefault="00A30622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020E" w:rsidRPr="009E2ED9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активними банківськими операціями, за якими не здійснюється оцінка кредитного ризику відповідно до Положення № 351,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501661" w:rsidRDefault="00501661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повʼязаної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00000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контрагента/повʼязаної з банком особи – фізичної особи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953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04F2" w:rsidRDefault="0057208A" w:rsidP="00953B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071E">
        <w:rPr>
          <w:rFonts w:ascii="Times New Roman" w:hAnsi="Times New Roman" w:cs="Times New Roman"/>
          <w:b/>
          <w:sz w:val="28"/>
          <w:szCs w:val="28"/>
          <w:lang w:eastAsia="uk-UA"/>
        </w:rPr>
        <w:t>НРП QF134</w:t>
      </w:r>
      <w:r w:rsidRPr="001C071E">
        <w:rPr>
          <w:rFonts w:ascii="Times New Roman" w:hAnsi="Times New Roman" w:cs="Times New Roman"/>
          <w:sz w:val="28"/>
          <w:szCs w:val="28"/>
          <w:lang w:eastAsia="uk-UA"/>
        </w:rPr>
        <w:t xml:space="preserve"> − </w:t>
      </w:r>
      <w:r w:rsidR="006F04F2" w:rsidRPr="006F04F2">
        <w:rPr>
          <w:rFonts w:ascii="Times New Roman" w:hAnsi="Times New Roman" w:cs="Times New Roman"/>
          <w:sz w:val="28"/>
          <w:szCs w:val="28"/>
        </w:rPr>
        <w:t xml:space="preserve">інструмент реструктуризації боргу (довідник </w:t>
      </w:r>
      <w:r w:rsidR="006F04F2" w:rsidRPr="006F04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04F2" w:rsidRPr="006F04F2">
        <w:rPr>
          <w:rFonts w:ascii="Times New Roman" w:hAnsi="Times New Roman" w:cs="Times New Roman"/>
          <w:sz w:val="28"/>
          <w:szCs w:val="28"/>
        </w:rPr>
        <w:t>134), для розділення кодів використовується розділовий знак “;”.</w:t>
      </w:r>
    </w:p>
    <w:p w:rsidR="006F04F2" w:rsidRPr="006F04F2" w:rsidRDefault="006F04F2" w:rsidP="006F04F2">
      <w:pPr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 w:rsidP="006F0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 w:rsidRP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A7I001 “Реструктуризована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 xml:space="preserve">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2D" w:rsidRPr="009E2ED9" w:rsidRDefault="007E532D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/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 xml:space="preserve">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>штами на 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загальний обсяг заборгованості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A7I004 “Реструктуризована заборгованість за борговими цінними паперами”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відображаються на рахунках дисконтів в аналітичному обліку за складовою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A7I005 “Реструктуризована заборгованість за наданими фінансовими зобов'язаннями”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 рахунками: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поручительствами, акредитивами, акцептами, зобов’язаннями з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МСФЗ, що обліковується за такими балансовими рахунками: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A7I006 “Реструктуризована заборгованість за наданими іншими зобов'язаннями”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 рахунками: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1843"/>
        </w:tabs>
        <w:ind w:left="184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6138D"/>
    <w:rsid w:val="00170A33"/>
    <w:rsid w:val="00172A27"/>
    <w:rsid w:val="001A0DAC"/>
    <w:rsid w:val="001C071E"/>
    <w:rsid w:val="002D46BC"/>
    <w:rsid w:val="00315C6E"/>
    <w:rsid w:val="003C6392"/>
    <w:rsid w:val="003E13D5"/>
    <w:rsid w:val="00457971"/>
    <w:rsid w:val="0048773F"/>
    <w:rsid w:val="004D7479"/>
    <w:rsid w:val="00501661"/>
    <w:rsid w:val="005339B5"/>
    <w:rsid w:val="005657D4"/>
    <w:rsid w:val="0057208A"/>
    <w:rsid w:val="005A7528"/>
    <w:rsid w:val="005B708B"/>
    <w:rsid w:val="005C14DA"/>
    <w:rsid w:val="005D37C0"/>
    <w:rsid w:val="005F0A41"/>
    <w:rsid w:val="00625DEF"/>
    <w:rsid w:val="0065197F"/>
    <w:rsid w:val="0065502E"/>
    <w:rsid w:val="0065505D"/>
    <w:rsid w:val="006B1E55"/>
    <w:rsid w:val="006C019C"/>
    <w:rsid w:val="006F04F2"/>
    <w:rsid w:val="006F1B6C"/>
    <w:rsid w:val="007461C5"/>
    <w:rsid w:val="007B1424"/>
    <w:rsid w:val="007E532D"/>
    <w:rsid w:val="007F686A"/>
    <w:rsid w:val="00886016"/>
    <w:rsid w:val="008E66AA"/>
    <w:rsid w:val="00903302"/>
    <w:rsid w:val="00904D68"/>
    <w:rsid w:val="00953B55"/>
    <w:rsid w:val="009B6A6A"/>
    <w:rsid w:val="009E2ED9"/>
    <w:rsid w:val="00A03515"/>
    <w:rsid w:val="00A30622"/>
    <w:rsid w:val="00A827CB"/>
    <w:rsid w:val="00A95929"/>
    <w:rsid w:val="00AA344F"/>
    <w:rsid w:val="00AF53ED"/>
    <w:rsid w:val="00B56330"/>
    <w:rsid w:val="00BB489D"/>
    <w:rsid w:val="00C744D6"/>
    <w:rsid w:val="00C81E47"/>
    <w:rsid w:val="00D5020E"/>
    <w:rsid w:val="00D50F8B"/>
    <w:rsid w:val="00D747BA"/>
    <w:rsid w:val="00D905A7"/>
    <w:rsid w:val="00DC6846"/>
    <w:rsid w:val="00DD663D"/>
    <w:rsid w:val="00E50B75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B78D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17542</Words>
  <Characters>9999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3</cp:revision>
  <cp:lastPrinted>2018-01-06T08:06:00Z</cp:lastPrinted>
  <dcterms:created xsi:type="dcterms:W3CDTF">2025-03-03T14:32:00Z</dcterms:created>
  <dcterms:modified xsi:type="dcterms:W3CDTF">2025-03-03T14:52:00Z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